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C2E87" w14:textId="77777777" w:rsidR="00096FFE" w:rsidRPr="00D3078C" w:rsidRDefault="00096FFE" w:rsidP="00096FFE"/>
    <w:p w14:paraId="67F1A56A" w14:textId="77777777" w:rsidR="00096FFE" w:rsidRPr="00D3078C" w:rsidRDefault="00096FFE" w:rsidP="00096FFE">
      <w:pPr>
        <w:rPr>
          <w:rFonts w:eastAsia="Calibri"/>
          <w:sz w:val="28"/>
          <w:szCs w:val="28"/>
        </w:rPr>
      </w:pPr>
      <w:r w:rsidRPr="00D3078C">
        <w:rPr>
          <w:noProof/>
        </w:rPr>
        <w:drawing>
          <wp:inline distT="0" distB="0" distL="0" distR="0" wp14:anchorId="7338E842" wp14:editId="69332D00">
            <wp:extent cx="3943350" cy="6831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2338" cy="686389"/>
                    </a:xfrm>
                    <a:prstGeom prst="rect">
                      <a:avLst/>
                    </a:prstGeom>
                    <a:noFill/>
                    <a:ln>
                      <a:noFill/>
                    </a:ln>
                  </pic:spPr>
                </pic:pic>
              </a:graphicData>
            </a:graphic>
          </wp:inline>
        </w:drawing>
      </w:r>
    </w:p>
    <w:p w14:paraId="3C63D270" w14:textId="77777777" w:rsidR="00096FFE" w:rsidRPr="00D3078C" w:rsidRDefault="00096FFE" w:rsidP="00096FFE">
      <w:pPr>
        <w:spacing w:after="120"/>
        <w:rPr>
          <w:rFonts w:eastAsia="Times New Roman"/>
        </w:rPr>
      </w:pPr>
    </w:p>
    <w:p w14:paraId="5C8CE0FC" w14:textId="77777777" w:rsidR="00096FFE" w:rsidRPr="00D3078C" w:rsidRDefault="00096FFE" w:rsidP="00096FFE"/>
    <w:p w14:paraId="23A01CA2" w14:textId="77777777" w:rsidR="00096FFE" w:rsidRPr="00D3078C" w:rsidRDefault="00096FFE" w:rsidP="00096FFE"/>
    <w:p w14:paraId="50773AB5" w14:textId="77777777" w:rsidR="00096FFE" w:rsidRPr="00D3078C" w:rsidRDefault="00096FFE" w:rsidP="00096FFE"/>
    <w:p w14:paraId="09141304" w14:textId="77777777" w:rsidR="00096FFE" w:rsidRPr="00D3078C" w:rsidRDefault="00096FFE" w:rsidP="00096FFE"/>
    <w:p w14:paraId="622A2B16" w14:textId="77777777" w:rsidR="00096FFE" w:rsidRPr="00D3078C" w:rsidRDefault="00096FFE" w:rsidP="00096FFE">
      <w:r w:rsidRPr="00D3078C">
        <w:rPr>
          <w:noProof/>
        </w:rPr>
        <mc:AlternateContent>
          <mc:Choice Requires="wps">
            <w:drawing>
              <wp:anchor distT="0" distB="0" distL="114300" distR="114300" simplePos="0" relativeHeight="251658240" behindDoc="0" locked="0" layoutInCell="1" allowOverlap="1" wp14:anchorId="6B52511C" wp14:editId="4FFE7F87">
                <wp:simplePos x="0" y="0"/>
                <wp:positionH relativeFrom="margin">
                  <wp:align>left</wp:align>
                </wp:positionH>
                <wp:positionV relativeFrom="paragraph">
                  <wp:posOffset>111126</wp:posOffset>
                </wp:positionV>
                <wp:extent cx="5953125" cy="381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9531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22E846" id="Straight Connector 2"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8.75pt" to="468.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" strokecolor="#156082 [3204]" strokeweight=".5pt">
                <v:stroke joinstyle="miter"/>
                <w10:wrap anchorx="margin"/>
              </v:line>
            </w:pict>
          </mc:Fallback>
        </mc:AlternateContent>
      </w:r>
    </w:p>
    <w:p w14:paraId="216B39A5" w14:textId="5B7F1925" w:rsidR="00096FFE" w:rsidRPr="004D4536" w:rsidRDefault="00AE4BD0" w:rsidP="004D4536">
      <w:pPr>
        <w:spacing w:after="120" w:line="240" w:lineRule="auto"/>
        <w:jc w:val="left"/>
        <w:rPr>
          <w:b/>
          <w:bCs/>
          <w:color w:val="000000" w:themeColor="text1"/>
          <w:sz w:val="52"/>
          <w:szCs w:val="52"/>
        </w:rPr>
      </w:pPr>
      <w:r w:rsidRPr="004D4536">
        <w:rPr>
          <w:b/>
          <w:bCs/>
          <w:color w:val="000000" w:themeColor="text1"/>
          <w:sz w:val="52"/>
          <w:szCs w:val="52"/>
        </w:rPr>
        <w:t>McIntosh Upgrade</w:t>
      </w:r>
      <w:r w:rsidR="0084097D">
        <w:rPr>
          <w:b/>
          <w:bCs/>
          <w:color w:val="000000" w:themeColor="text1"/>
          <w:sz w:val="52"/>
          <w:szCs w:val="52"/>
        </w:rPr>
        <w:t>s</w:t>
      </w:r>
      <w:r w:rsidRPr="004D4536">
        <w:rPr>
          <w:b/>
          <w:bCs/>
          <w:color w:val="000000" w:themeColor="text1"/>
          <w:sz w:val="52"/>
          <w:szCs w:val="52"/>
        </w:rPr>
        <w:t xml:space="preserve"> </w:t>
      </w:r>
      <w:r w:rsidR="004D4536" w:rsidRPr="004D4536">
        <w:rPr>
          <w:b/>
          <w:bCs/>
          <w:color w:val="000000" w:themeColor="text1"/>
          <w:sz w:val="52"/>
          <w:szCs w:val="52"/>
        </w:rPr>
        <w:t>Cost-Benefit</w:t>
      </w:r>
      <w:r w:rsidRPr="004D4536">
        <w:rPr>
          <w:b/>
          <w:bCs/>
          <w:color w:val="000000" w:themeColor="text1"/>
          <w:sz w:val="52"/>
          <w:szCs w:val="52"/>
        </w:rPr>
        <w:t xml:space="preserve"> Analysis  </w:t>
      </w:r>
      <w:r w:rsidR="00096FFE" w:rsidRPr="004D4536">
        <w:rPr>
          <w:b/>
          <w:bCs/>
          <w:color w:val="000000" w:themeColor="text1"/>
          <w:sz w:val="52"/>
          <w:szCs w:val="52"/>
        </w:rPr>
        <w:t xml:space="preserve"> </w:t>
      </w:r>
    </w:p>
    <w:p w14:paraId="298F3753" w14:textId="77777777" w:rsidR="00096FFE" w:rsidRPr="00D3078C" w:rsidRDefault="00096FFE" w:rsidP="00096FFE">
      <w:pPr>
        <w:spacing w:after="0" w:line="240" w:lineRule="auto"/>
        <w:rPr>
          <w:color w:val="000000" w:themeColor="text1"/>
          <w:sz w:val="28"/>
          <w:szCs w:val="28"/>
        </w:rPr>
      </w:pPr>
      <w:r w:rsidRPr="00D3078C">
        <w:rPr>
          <w:color w:val="000000" w:themeColor="text1"/>
          <w:sz w:val="28"/>
          <w:szCs w:val="28"/>
        </w:rPr>
        <w:t xml:space="preserve">2025 Integrated Resource Plan </w:t>
      </w:r>
    </w:p>
    <w:p w14:paraId="764A3075" w14:textId="77777777" w:rsidR="00096FFE" w:rsidRPr="00D3078C" w:rsidRDefault="00096FFE" w:rsidP="00096FFE"/>
    <w:p w14:paraId="1731F962" w14:textId="77777777" w:rsidR="00096FFE" w:rsidRPr="00D3078C" w:rsidDel="0024041E" w:rsidRDefault="00096FFE" w:rsidP="00096FFE">
      <w:r w:rsidRPr="00D3078C">
        <w:rPr>
          <w:noProof/>
        </w:rPr>
        <mc:AlternateContent>
          <mc:Choice Requires="wps">
            <w:drawing>
              <wp:anchor distT="0" distB="0" distL="114300" distR="114300" simplePos="0" relativeHeight="251658241" behindDoc="0" locked="0" layoutInCell="1" allowOverlap="1" wp14:anchorId="716F4EA8" wp14:editId="56298375">
                <wp:simplePos x="0" y="0"/>
                <wp:positionH relativeFrom="margin">
                  <wp:align>left</wp:align>
                </wp:positionH>
                <wp:positionV relativeFrom="paragraph">
                  <wp:posOffset>8890</wp:posOffset>
                </wp:positionV>
                <wp:extent cx="5895975" cy="3810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589597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50AA80" id="Straight Connector 3" o:spid="_x0000_s1026" style="position:absolute;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pt" to="464.2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" strokecolor="#156082 [3204]" strokeweight=".5pt">
                <v:stroke joinstyle="miter"/>
                <w10:wrap anchorx="margin"/>
              </v:line>
            </w:pict>
          </mc:Fallback>
        </mc:AlternateContent>
      </w:r>
    </w:p>
    <w:p w14:paraId="3DF4F5E7" w14:textId="77777777" w:rsidR="00F339E3" w:rsidRDefault="00F339E3">
      <w:pPr>
        <w:spacing w:after="160" w:line="259" w:lineRule="auto"/>
        <w:jc w:val="left"/>
        <w:rPr>
          <w:rFonts w:eastAsia="Calibri"/>
          <w:b/>
          <w:color w:val="156082" w:themeColor="accent1"/>
          <w:sz w:val="28"/>
          <w:szCs w:val="28"/>
        </w:rPr>
      </w:pPr>
      <w:r>
        <w:br w:type="page"/>
      </w:r>
    </w:p>
    <w:p w14:paraId="4B1BB200" w14:textId="5ECEC8A9" w:rsidR="00B9352C" w:rsidRPr="00271B73" w:rsidRDefault="00114710" w:rsidP="00625F6B">
      <w:pPr>
        <w:pStyle w:val="Heading1"/>
      </w:pPr>
      <w:r w:rsidRPr="00625F6B">
        <w:lastRenderedPageBreak/>
        <w:t>Overview</w:t>
      </w:r>
    </w:p>
    <w:p w14:paraId="14DE5831" w14:textId="561FF6A5" w:rsidR="00672512" w:rsidRDefault="00292C80">
      <w:r>
        <w:t xml:space="preserve">Georgia Power Company (“GPC” or the “Company”) routinely evaluates forecasted conditions and </w:t>
      </w:r>
      <w:r w:rsidR="007E385C">
        <w:t xml:space="preserve">resource improvements </w:t>
      </w:r>
      <w:r>
        <w:t xml:space="preserve">to identify opportunities that can provide </w:t>
      </w:r>
      <w:r w:rsidR="007E385C">
        <w:t xml:space="preserve">customers with clean, safe, reliable, and affordable energy from a diverse fleet of generation resources. </w:t>
      </w:r>
      <w:r w:rsidR="4004A626">
        <w:t xml:space="preserve">For the 2025 </w:t>
      </w:r>
      <w:r w:rsidR="00E20480">
        <w:t>I</w:t>
      </w:r>
      <w:r w:rsidR="4004A626">
        <w:t xml:space="preserve">ntegrated </w:t>
      </w:r>
      <w:r w:rsidR="00E20480">
        <w:t>R</w:t>
      </w:r>
      <w:r w:rsidR="4004A626">
        <w:t xml:space="preserve">esource </w:t>
      </w:r>
      <w:r w:rsidR="00E20480">
        <w:t>P</w:t>
      </w:r>
      <w:r w:rsidR="4004A626">
        <w:t xml:space="preserve">lan (“IRP”), </w:t>
      </w:r>
      <w:r w:rsidR="007E385C">
        <w:t xml:space="preserve">the Company has </w:t>
      </w:r>
      <w:r w:rsidR="3F6DA286">
        <w:t xml:space="preserve">identified </w:t>
      </w:r>
      <w:r w:rsidR="00872C30">
        <w:t>beneficial</w:t>
      </w:r>
      <w:r w:rsidR="264528B0">
        <w:t xml:space="preserve"> </w:t>
      </w:r>
      <w:r w:rsidR="003549AD">
        <w:t xml:space="preserve">upgrades </w:t>
      </w:r>
      <w:r w:rsidR="00F77704">
        <w:t>for</w:t>
      </w:r>
      <w:r w:rsidR="007E385C">
        <w:t xml:space="preserve"> several of its existing thermal </w:t>
      </w:r>
      <w:r w:rsidR="00BA4ED9">
        <w:t xml:space="preserve">generation resources </w:t>
      </w:r>
      <w:r w:rsidR="007E385C">
        <w:t xml:space="preserve">located at Plant McIntosh. These resources include both the simple cycle </w:t>
      </w:r>
      <w:r w:rsidR="00667378">
        <w:t>C</w:t>
      </w:r>
      <w:r w:rsidR="007E385C">
        <w:t xml:space="preserve">ombustion </w:t>
      </w:r>
      <w:r w:rsidR="00667378">
        <w:t>T</w:t>
      </w:r>
      <w:r w:rsidR="007E385C">
        <w:t>urbines</w:t>
      </w:r>
      <w:r w:rsidR="00010D1B">
        <w:t xml:space="preserve"> (“CT”)</w:t>
      </w:r>
      <w:r w:rsidR="00A9605E">
        <w:t>, Plant McIntosh Units 1</w:t>
      </w:r>
      <w:r w:rsidR="00C93123">
        <w:t>A</w:t>
      </w:r>
      <w:r w:rsidR="00A9605E">
        <w:t>-8</w:t>
      </w:r>
      <w:r w:rsidR="00C93123">
        <w:t>A</w:t>
      </w:r>
      <w:r w:rsidR="00A9605E">
        <w:t xml:space="preserve"> </w:t>
      </w:r>
      <w:r w:rsidR="007E385C">
        <w:t>(eight in total)</w:t>
      </w:r>
      <w:r w:rsidR="00C5783A">
        <w:t>,</w:t>
      </w:r>
      <w:r w:rsidR="007E385C">
        <w:t xml:space="preserve"> and </w:t>
      </w:r>
      <w:r w:rsidR="00010D1B" w:rsidDel="000237F9">
        <w:t xml:space="preserve">Natural Gas </w:t>
      </w:r>
      <w:r w:rsidR="00010D1B">
        <w:t>Combined Cycle (“</w:t>
      </w:r>
      <w:r w:rsidR="00010D1B" w:rsidDel="000237F9">
        <w:t>NG</w:t>
      </w:r>
      <w:r w:rsidR="00010D1B">
        <w:t xml:space="preserve">CC”) </w:t>
      </w:r>
      <w:r w:rsidR="007E385C">
        <w:t>units</w:t>
      </w:r>
      <w:r w:rsidR="00C5783A">
        <w:t xml:space="preserve">, Plant McIntosh Units 10-11 </w:t>
      </w:r>
      <w:r w:rsidR="00BA4ED9">
        <w:t>(two 2x1 units)</w:t>
      </w:r>
      <w:r w:rsidR="007E385C">
        <w:t>.</w:t>
      </w:r>
      <w:r w:rsidR="00BA4ED9">
        <w:t xml:space="preserve"> Given the </w:t>
      </w:r>
      <w:r w:rsidR="00DA4E01">
        <w:t>extraordinary</w:t>
      </w:r>
      <w:r w:rsidR="00FB00FF">
        <w:t xml:space="preserve"> </w:t>
      </w:r>
      <w:r w:rsidR="00BA4ED9">
        <w:t xml:space="preserve">economic growth in the state of Georgia, </w:t>
      </w:r>
      <w:r w:rsidR="64C79937">
        <w:t xml:space="preserve">the Company has </w:t>
      </w:r>
      <w:r w:rsidR="00F77704">
        <w:t>significant</w:t>
      </w:r>
      <w:r w:rsidR="64C79937">
        <w:t xml:space="preserve"> forecasted </w:t>
      </w:r>
      <w:r w:rsidR="00BA4ED9">
        <w:t xml:space="preserve">capacity </w:t>
      </w:r>
      <w:r w:rsidR="5AF1DA18">
        <w:t xml:space="preserve">needs that require additional firm generation </w:t>
      </w:r>
      <w:r w:rsidR="00BA4ED9">
        <w:t xml:space="preserve">to ensure reliability. The </w:t>
      </w:r>
      <w:r w:rsidR="003549AD">
        <w:t xml:space="preserve">upgrades </w:t>
      </w:r>
      <w:r w:rsidR="00BA4ED9">
        <w:t xml:space="preserve">at Plant McIntosh present a unique opportunity to leverage existing resources </w:t>
      </w:r>
      <w:r w:rsidR="5EE6CFD5">
        <w:t xml:space="preserve">and meet the growing </w:t>
      </w:r>
      <w:r w:rsidR="638C64D5">
        <w:t xml:space="preserve">needs </w:t>
      </w:r>
      <w:r w:rsidR="00BA4ED9">
        <w:t>of customers</w:t>
      </w:r>
      <w:r w:rsidR="007E385C">
        <w:t xml:space="preserve">. </w:t>
      </w:r>
      <w:r w:rsidR="3B1F8334">
        <w:t>The cost-benefit analys</w:t>
      </w:r>
      <w:r w:rsidR="00B440E6">
        <w:t>e</w:t>
      </w:r>
      <w:r w:rsidR="3B1F8334">
        <w:t xml:space="preserve">s </w:t>
      </w:r>
      <w:r w:rsidR="1FEF70B6">
        <w:t xml:space="preserve">presented in this technical appendix </w:t>
      </w:r>
      <w:r w:rsidR="007E385C">
        <w:t xml:space="preserve">clearly demonstrate that executing these </w:t>
      </w:r>
      <w:r w:rsidR="003549AD">
        <w:t xml:space="preserve">upgrades </w:t>
      </w:r>
      <w:r w:rsidR="007E385C">
        <w:t xml:space="preserve">at Plant McIntosh is in the </w:t>
      </w:r>
      <w:r w:rsidR="006235EF">
        <w:t xml:space="preserve">best </w:t>
      </w:r>
      <w:r w:rsidR="007E385C">
        <w:t>interest of customers.</w:t>
      </w:r>
    </w:p>
    <w:p w14:paraId="029B1396" w14:textId="53EA2513" w:rsidR="00C5507D" w:rsidRDefault="00C3323A" w:rsidP="00625F6B">
      <w:pPr>
        <w:pStyle w:val="Heading1"/>
      </w:pPr>
      <w:r>
        <w:t>Up</w:t>
      </w:r>
      <w:r w:rsidR="00E31FA8">
        <w:t>grade</w:t>
      </w:r>
      <w:r w:rsidR="00C5507D">
        <w:t xml:space="preserve"> Opportunity </w:t>
      </w:r>
    </w:p>
    <w:p w14:paraId="697F4E63" w14:textId="6B1A3AEE" w:rsidR="00C3323A" w:rsidRDefault="00C3323A" w:rsidP="00BB737D">
      <w:pPr>
        <w:spacing w:after="0"/>
      </w:pPr>
      <w:r>
        <w:t xml:space="preserve">The </w:t>
      </w:r>
      <w:r w:rsidR="00B440E6">
        <w:t>upgrade</w:t>
      </w:r>
      <w:r>
        <w:t xml:space="preserve"> opportunity being evaluated for the combined cycles at Plant McIntosh</w:t>
      </w:r>
      <w:r w:rsidR="00C5783A">
        <w:t xml:space="preserve"> Units 10-11</w:t>
      </w:r>
      <w:r>
        <w:t xml:space="preserve"> is the </w:t>
      </w:r>
      <w:r w:rsidR="009F774F">
        <w:t>General Electric</w:t>
      </w:r>
      <w:r>
        <w:t xml:space="preserve"> </w:t>
      </w:r>
      <w:r w:rsidR="009F774F">
        <w:t>(“</w:t>
      </w:r>
      <w:r>
        <w:t>GE</w:t>
      </w:r>
      <w:r w:rsidR="009F774F">
        <w:t>”)</w:t>
      </w:r>
      <w:r>
        <w:t xml:space="preserve"> 7FA.05 upgrade. The scope of this </w:t>
      </w:r>
      <w:r w:rsidR="00DA55EA">
        <w:t>upgrade</w:t>
      </w:r>
      <w:r>
        <w:t xml:space="preserve"> includes replacing rotating blades and stationary vanes in the </w:t>
      </w:r>
      <w:r w:rsidR="00C93123">
        <w:t>CTs</w:t>
      </w:r>
      <w:r>
        <w:t xml:space="preserve"> (two </w:t>
      </w:r>
      <w:r w:rsidR="00C93123">
        <w:t>CTs</w:t>
      </w:r>
      <w:r>
        <w:t xml:space="preserve"> per combined cycle)</w:t>
      </w:r>
      <w:r w:rsidR="00272552">
        <w:t xml:space="preserve">, combustor replacement, increasing firing temperature and shaft limits, </w:t>
      </w:r>
      <w:r w:rsidR="00610DCC">
        <w:t>and additional operating mode flexibility</w:t>
      </w:r>
      <w:r>
        <w:t>. The result of these replacements will be increased capacity and improved heat rate</w:t>
      </w:r>
      <w:r w:rsidR="00191991">
        <w:t xml:space="preserve"> for some operating modes</w:t>
      </w:r>
      <w:r>
        <w:t xml:space="preserve">. In addition, the GE 7FA.05 upgrade will give these </w:t>
      </w:r>
      <w:r w:rsidR="00667378" w:rsidDel="000237F9">
        <w:t>NG</w:t>
      </w:r>
      <w:r w:rsidR="00667378">
        <w:t>CC</w:t>
      </w:r>
      <w:r w:rsidR="0093629C">
        <w:t>s</w:t>
      </w:r>
      <w:r>
        <w:t xml:space="preserve"> the ability to operate power augmentation (admission of steam to the combustion turbine to increase mass throughput</w:t>
      </w:r>
      <w:r w:rsidR="00BA4ED9">
        <w:t xml:space="preserve"> and power output</w:t>
      </w:r>
      <w:r>
        <w:t xml:space="preserve">) </w:t>
      </w:r>
      <w:r w:rsidR="00856A6E">
        <w:t xml:space="preserve">and peak firing </w:t>
      </w:r>
      <w:r>
        <w:t xml:space="preserve">in winter conditions, as well as the ability to operate peak fire and power augmentation simultaneously. </w:t>
      </w:r>
      <w:r w:rsidR="006A37F9">
        <w:t xml:space="preserve">Table </w:t>
      </w:r>
      <w:r w:rsidR="0093629C">
        <w:t>1</w:t>
      </w:r>
      <w:r w:rsidR="006A37F9">
        <w:t xml:space="preserve"> shows the expected performance for</w:t>
      </w:r>
      <w:r w:rsidR="00A308B6">
        <w:t xml:space="preserve"> both</w:t>
      </w:r>
      <w:r w:rsidR="006A37F9">
        <w:t xml:space="preserve"> </w:t>
      </w:r>
      <w:r w:rsidR="008E5F7F" w:rsidDel="000237F9">
        <w:t>NG</w:t>
      </w:r>
      <w:r w:rsidR="008E5F7F">
        <w:t>CC unit</w:t>
      </w:r>
      <w:r w:rsidR="00A308B6">
        <w:t>s</w:t>
      </w:r>
      <w:r w:rsidR="006A37F9">
        <w:t>, based on performance data provided by GE.</w:t>
      </w:r>
    </w:p>
    <w:p w14:paraId="5352E7F7" w14:textId="09234624" w:rsidR="006A37F9" w:rsidRDefault="006A37F9" w:rsidP="000F3789">
      <w:pPr>
        <w:pStyle w:val="Title"/>
        <w:keepLines/>
      </w:pPr>
      <w:r>
        <w:t xml:space="preserve">Table </w:t>
      </w:r>
      <w:r w:rsidR="0093629C">
        <w:t>1</w:t>
      </w:r>
      <w:r>
        <w:t>. Combined Cycle Expected Performance</w:t>
      </w:r>
    </w:p>
    <w:tbl>
      <w:tblPr>
        <w:tblStyle w:val="GridTable4"/>
        <w:tblW w:w="8452" w:type="dxa"/>
        <w:jc w:val="center"/>
        <w:tblLook w:val="04A0" w:firstRow="1" w:lastRow="0" w:firstColumn="1" w:lastColumn="0" w:noHBand="0" w:noVBand="1"/>
      </w:tblPr>
      <w:tblGrid>
        <w:gridCol w:w="1255"/>
        <w:gridCol w:w="4230"/>
        <w:gridCol w:w="2967"/>
      </w:tblGrid>
      <w:tr w:rsidR="006036F7" w:rsidRPr="006A37F9" w14:paraId="697458E8" w14:textId="77777777" w:rsidTr="00BB737D">
        <w:trPr>
          <w:cnfStyle w:val="100000000000" w:firstRow="1" w:lastRow="0" w:firstColumn="0" w:lastColumn="0" w:oddVBand="0" w:evenVBand="0" w:oddHBand="0" w:evenHBand="0" w:firstRowFirstColumn="0" w:firstRowLastColumn="0" w:lastRowFirstColumn="0" w:lastRowLastColumn="0"/>
          <w:trHeight w:val="314"/>
          <w:jc w:val="center"/>
        </w:trPr>
        <w:tc>
          <w:tcPr>
            <w:cnfStyle w:val="001000000000" w:firstRow="0" w:lastRow="0" w:firstColumn="1" w:lastColumn="0" w:oddVBand="0" w:evenVBand="0" w:oddHBand="0" w:evenHBand="0" w:firstRowFirstColumn="0" w:firstRowLastColumn="0" w:lastRowFirstColumn="0" w:lastRowLastColumn="0"/>
            <w:tcW w:w="1255" w:type="dxa"/>
            <w:vAlign w:val="center"/>
            <w:hideMark/>
          </w:tcPr>
          <w:p w14:paraId="5185F29A" w14:textId="77777777" w:rsidR="006036F7" w:rsidRPr="00271B73" w:rsidRDefault="006036F7" w:rsidP="000F3789">
            <w:pPr>
              <w:pStyle w:val="NoSpacing"/>
              <w:keepNext/>
              <w:keepLines/>
              <w:jc w:val="center"/>
              <w:rPr>
                <w:rFonts w:eastAsia="Times New Roman"/>
              </w:rPr>
            </w:pPr>
            <w:r w:rsidRPr="00271B73">
              <w:rPr>
                <w:rFonts w:eastAsia="Times New Roman"/>
              </w:rPr>
              <w:t>Season</w:t>
            </w:r>
          </w:p>
        </w:tc>
        <w:tc>
          <w:tcPr>
            <w:tcW w:w="4230" w:type="dxa"/>
            <w:vAlign w:val="center"/>
          </w:tcPr>
          <w:p w14:paraId="7D5460A1" w14:textId="7556DBE8" w:rsidR="006036F7" w:rsidRDefault="006036F7" w:rsidP="6C1CF665">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Pr>
                <w:rFonts w:eastAsia="Times New Roman"/>
              </w:rPr>
              <w:t xml:space="preserve">Capacity Increase </w:t>
            </w:r>
          </w:p>
          <w:p w14:paraId="05221B62" w14:textId="7C1B7ED3" w:rsidR="006036F7" w:rsidRDefault="006036F7" w:rsidP="000F3789">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Pr>
                <w:rFonts w:eastAsia="Times New Roman"/>
              </w:rPr>
              <w:t>(Base + Peaking, MW)</w:t>
            </w:r>
          </w:p>
          <w:p w14:paraId="05318342" w14:textId="14A4B8DF" w:rsidR="006036F7" w:rsidRPr="00271B73" w:rsidRDefault="006036F7" w:rsidP="000F3789">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rPr>
            </w:pPr>
            <w:r>
              <w:rPr>
                <w:rFonts w:eastAsia="Times New Roman"/>
              </w:rPr>
              <w:t>Unit 10-11</w:t>
            </w:r>
          </w:p>
        </w:tc>
        <w:tc>
          <w:tcPr>
            <w:tcW w:w="2967" w:type="dxa"/>
            <w:vAlign w:val="center"/>
            <w:hideMark/>
          </w:tcPr>
          <w:p w14:paraId="415A7EC2" w14:textId="4B460DE5" w:rsidR="006036F7" w:rsidRPr="00271B73" w:rsidRDefault="006036F7" w:rsidP="000F3789">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rPr>
            </w:pPr>
            <w:r w:rsidRPr="00271B73">
              <w:rPr>
                <w:rFonts w:eastAsia="Times New Roman"/>
              </w:rPr>
              <w:t>Heat Rate Improvement (Base Load)</w:t>
            </w:r>
          </w:p>
        </w:tc>
      </w:tr>
      <w:tr w:rsidR="006036F7" w:rsidRPr="006A37F9" w14:paraId="76459E02" w14:textId="77777777" w:rsidTr="00BB737D">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255" w:type="dxa"/>
            <w:noWrap/>
            <w:vAlign w:val="center"/>
            <w:hideMark/>
          </w:tcPr>
          <w:p w14:paraId="54D8CECD" w14:textId="77777777" w:rsidR="006036F7" w:rsidRPr="006A37F9" w:rsidRDefault="006036F7" w:rsidP="000F3789">
            <w:pPr>
              <w:pStyle w:val="NoSpacing"/>
              <w:keepNext/>
              <w:keepLines/>
              <w:jc w:val="center"/>
              <w:rPr>
                <w:rFonts w:eastAsia="Times New Roman"/>
              </w:rPr>
            </w:pPr>
            <w:r w:rsidRPr="006A37F9">
              <w:rPr>
                <w:rFonts w:eastAsia="Times New Roman"/>
              </w:rPr>
              <w:t>Winter</w:t>
            </w:r>
          </w:p>
        </w:tc>
        <w:tc>
          <w:tcPr>
            <w:tcW w:w="4230" w:type="dxa"/>
            <w:vAlign w:val="center"/>
          </w:tcPr>
          <w:p w14:paraId="2A7C5383" w14:textId="4084AE3E" w:rsidR="006036F7" w:rsidRDefault="006036F7" w:rsidP="000F3789">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t>194</w:t>
            </w:r>
          </w:p>
        </w:tc>
        <w:tc>
          <w:tcPr>
            <w:tcW w:w="2967" w:type="dxa"/>
            <w:noWrap/>
            <w:vAlign w:val="center"/>
            <w:hideMark/>
          </w:tcPr>
          <w:p w14:paraId="548378BB" w14:textId="5F6EE740" w:rsidR="006036F7" w:rsidRPr="006A37F9" w:rsidRDefault="006036F7" w:rsidP="000F3789">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A37F9">
              <w:rPr>
                <w:rFonts w:eastAsia="Times New Roman"/>
              </w:rPr>
              <w:t>-</w:t>
            </w:r>
            <w:r>
              <w:rPr>
                <w:rFonts w:eastAsia="Times New Roman"/>
              </w:rPr>
              <w:t>0.2%</w:t>
            </w:r>
          </w:p>
        </w:tc>
      </w:tr>
      <w:tr w:rsidR="006036F7" w:rsidRPr="006A37F9" w14:paraId="003FE080" w14:textId="77777777" w:rsidTr="00BB737D">
        <w:trPr>
          <w:trHeight w:val="134"/>
          <w:jc w:val="center"/>
        </w:trPr>
        <w:tc>
          <w:tcPr>
            <w:cnfStyle w:val="001000000000" w:firstRow="0" w:lastRow="0" w:firstColumn="1" w:lastColumn="0" w:oddVBand="0" w:evenVBand="0" w:oddHBand="0" w:evenHBand="0" w:firstRowFirstColumn="0" w:firstRowLastColumn="0" w:lastRowFirstColumn="0" w:lastRowLastColumn="0"/>
            <w:tcW w:w="1255" w:type="dxa"/>
            <w:noWrap/>
            <w:vAlign w:val="center"/>
            <w:hideMark/>
          </w:tcPr>
          <w:p w14:paraId="7D507433" w14:textId="77777777" w:rsidR="006036F7" w:rsidRPr="006A37F9" w:rsidRDefault="006036F7" w:rsidP="000F3789">
            <w:pPr>
              <w:pStyle w:val="NoSpacing"/>
              <w:keepNext/>
              <w:keepLines/>
              <w:jc w:val="center"/>
              <w:rPr>
                <w:rFonts w:eastAsia="Times New Roman"/>
              </w:rPr>
            </w:pPr>
            <w:r w:rsidRPr="006A37F9">
              <w:rPr>
                <w:rFonts w:eastAsia="Times New Roman"/>
              </w:rPr>
              <w:t>Shoulder</w:t>
            </w:r>
          </w:p>
        </w:tc>
        <w:tc>
          <w:tcPr>
            <w:tcW w:w="4230" w:type="dxa"/>
            <w:vAlign w:val="center"/>
          </w:tcPr>
          <w:p w14:paraId="5A5244A8" w14:textId="55867190" w:rsidR="006036F7" w:rsidRDefault="006036F7" w:rsidP="000F3789">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rPr>
              <w:t>200</w:t>
            </w:r>
          </w:p>
        </w:tc>
        <w:tc>
          <w:tcPr>
            <w:tcW w:w="2967" w:type="dxa"/>
            <w:noWrap/>
            <w:vAlign w:val="center"/>
            <w:hideMark/>
          </w:tcPr>
          <w:p w14:paraId="59BDE96F" w14:textId="77777777" w:rsidR="006036F7" w:rsidRPr="006A37F9" w:rsidRDefault="006036F7" w:rsidP="000F3789">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A37F9">
              <w:rPr>
                <w:rFonts w:eastAsia="Times New Roman"/>
              </w:rPr>
              <w:t>--</w:t>
            </w:r>
          </w:p>
        </w:tc>
      </w:tr>
      <w:tr w:rsidR="006036F7" w:rsidRPr="006A37F9" w14:paraId="143E6ADE" w14:textId="77777777" w:rsidTr="00BB737D">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255" w:type="dxa"/>
            <w:noWrap/>
            <w:vAlign w:val="center"/>
            <w:hideMark/>
          </w:tcPr>
          <w:p w14:paraId="5B4E8C05" w14:textId="77777777" w:rsidR="006036F7" w:rsidRPr="006A37F9" w:rsidRDefault="006036F7" w:rsidP="000F3789">
            <w:pPr>
              <w:pStyle w:val="NoSpacing"/>
              <w:keepNext/>
              <w:keepLines/>
              <w:jc w:val="center"/>
              <w:rPr>
                <w:rFonts w:eastAsia="Times New Roman"/>
              </w:rPr>
            </w:pPr>
            <w:r w:rsidRPr="006A37F9">
              <w:rPr>
                <w:rFonts w:eastAsia="Times New Roman"/>
              </w:rPr>
              <w:t>Summer</w:t>
            </w:r>
          </w:p>
        </w:tc>
        <w:tc>
          <w:tcPr>
            <w:tcW w:w="4230" w:type="dxa"/>
            <w:vAlign w:val="center"/>
          </w:tcPr>
          <w:p w14:paraId="02AA6C49" w14:textId="70A171C7" w:rsidR="006036F7" w:rsidRDefault="006036F7" w:rsidP="000F3789">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t>68</w:t>
            </w:r>
          </w:p>
        </w:tc>
        <w:tc>
          <w:tcPr>
            <w:tcW w:w="2967" w:type="dxa"/>
            <w:noWrap/>
            <w:vAlign w:val="center"/>
            <w:hideMark/>
          </w:tcPr>
          <w:p w14:paraId="14FCE968" w14:textId="015CD048" w:rsidR="006036F7" w:rsidRPr="006A37F9" w:rsidRDefault="006036F7" w:rsidP="000F3789">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A37F9">
              <w:rPr>
                <w:rFonts w:eastAsia="Times New Roman"/>
              </w:rPr>
              <w:t>-</w:t>
            </w:r>
            <w:r>
              <w:rPr>
                <w:rFonts w:eastAsia="Times New Roman"/>
              </w:rPr>
              <w:t>0.7%</w:t>
            </w:r>
          </w:p>
        </w:tc>
      </w:tr>
    </w:tbl>
    <w:p w14:paraId="482E32FE" w14:textId="77777777" w:rsidR="00E33974" w:rsidRDefault="00E33974" w:rsidP="00625F6B">
      <w:pPr>
        <w:spacing w:before="240"/>
      </w:pPr>
    </w:p>
    <w:p w14:paraId="22CE69D6" w14:textId="419C8465" w:rsidR="00C5507D" w:rsidRDefault="00C3323A" w:rsidP="00625F6B">
      <w:pPr>
        <w:spacing w:before="240"/>
      </w:pPr>
      <w:r>
        <w:lastRenderedPageBreak/>
        <w:t xml:space="preserve">The </w:t>
      </w:r>
      <w:r w:rsidR="00DA55EA">
        <w:t>upgrade</w:t>
      </w:r>
      <w:r>
        <w:t xml:space="preserve"> opportunity being evaluated </w:t>
      </w:r>
      <w:r w:rsidR="009A7488">
        <w:t xml:space="preserve">for </w:t>
      </w:r>
      <w:r w:rsidR="000D44CA" w:rsidRPr="000D44CA">
        <w:t>Plant McIntosh Units 1</w:t>
      </w:r>
      <w:r w:rsidR="00C93123">
        <w:t>A</w:t>
      </w:r>
      <w:r w:rsidR="000D44CA" w:rsidRPr="000D44CA">
        <w:t>-8</w:t>
      </w:r>
      <w:r w:rsidR="00C93123">
        <w:t>A</w:t>
      </w:r>
      <w:r w:rsidR="000D44CA">
        <w:t xml:space="preserve">, or </w:t>
      </w:r>
      <w:r>
        <w:t xml:space="preserve">the simple cycle </w:t>
      </w:r>
      <w:r w:rsidR="008E5F7F">
        <w:t>CTs</w:t>
      </w:r>
      <w:r w:rsidR="000D44CA">
        <w:t>,</w:t>
      </w:r>
      <w:r>
        <w:t xml:space="preserve"> also includes replacing existing turbine components, which will </w:t>
      </w:r>
      <w:r w:rsidR="003B3CFE">
        <w:t>allow each unit to operate at a higher capacity</w:t>
      </w:r>
      <w:r>
        <w:t xml:space="preserve">. In addition to increasing capacity, these replacement components are of lower cost than the in-kind replacement parts, leading to a reduction in </w:t>
      </w:r>
      <w:r w:rsidR="006959FB">
        <w:t xml:space="preserve">the </w:t>
      </w:r>
      <w:r>
        <w:t>capital budget moving forward.</w:t>
      </w:r>
      <w:r w:rsidR="00BA4ED9">
        <w:t xml:space="preserve"> This reduction can be explained by changing market conditions and </w:t>
      </w:r>
      <w:r w:rsidR="27E473A9">
        <w:t xml:space="preserve">reduction in the </w:t>
      </w:r>
      <w:r w:rsidR="00BA4ED9">
        <w:t>availab</w:t>
      </w:r>
      <w:r w:rsidR="00064756">
        <w:t>i</w:t>
      </w:r>
      <w:r w:rsidR="00BA4ED9">
        <w:t>l</w:t>
      </w:r>
      <w:r w:rsidR="00064756">
        <w:t>ity</w:t>
      </w:r>
      <w:r w:rsidR="00BA4ED9">
        <w:t xml:space="preserve"> </w:t>
      </w:r>
      <w:r w:rsidR="00064756">
        <w:t xml:space="preserve">of </w:t>
      </w:r>
      <w:r w:rsidR="00BA4ED9">
        <w:t>in-kind replacement parts.</w:t>
      </w:r>
      <w:r w:rsidR="00131882">
        <w:t xml:space="preserve"> The following table shows the </w:t>
      </w:r>
      <w:r w:rsidR="0001357E">
        <w:t>capacity increase, per unit, for the CTs.</w:t>
      </w:r>
      <w:r w:rsidR="00225679">
        <w:t xml:space="preserve"> </w:t>
      </w:r>
    </w:p>
    <w:p w14:paraId="2474C5DD" w14:textId="1CF5065D" w:rsidR="006F3D9E" w:rsidRDefault="006F3D9E" w:rsidP="00625F6B">
      <w:pPr>
        <w:pStyle w:val="Title"/>
      </w:pPr>
      <w:r>
        <w:t xml:space="preserve">Table </w:t>
      </w:r>
      <w:r w:rsidR="00225679">
        <w:t>2</w:t>
      </w:r>
      <w:r>
        <w:t>. Simple Cycle Expected Performance</w:t>
      </w:r>
    </w:p>
    <w:tbl>
      <w:tblPr>
        <w:tblStyle w:val="GridTable4"/>
        <w:tblW w:w="6750" w:type="dxa"/>
        <w:jc w:val="center"/>
        <w:tblLook w:val="04A0" w:firstRow="1" w:lastRow="0" w:firstColumn="1" w:lastColumn="0" w:noHBand="0" w:noVBand="1"/>
      </w:tblPr>
      <w:tblGrid>
        <w:gridCol w:w="2335"/>
        <w:gridCol w:w="4415"/>
      </w:tblGrid>
      <w:tr w:rsidR="006F3D9E" w:rsidRPr="006F3D9E" w14:paraId="29EB79E7" w14:textId="77777777" w:rsidTr="00625F6B">
        <w:trPr>
          <w:cnfStyle w:val="100000000000" w:firstRow="1" w:lastRow="0" w:firstColumn="0" w:lastColumn="0" w:oddVBand="0" w:evenVBand="0" w:oddHBand="0" w:evenHBand="0" w:firstRowFirstColumn="0" w:firstRowLastColumn="0" w:lastRowFirstColumn="0" w:lastRowLastColumn="0"/>
          <w:trHeight w:val="467"/>
          <w:jc w:val="center"/>
        </w:trPr>
        <w:tc>
          <w:tcPr>
            <w:cnfStyle w:val="001000000000" w:firstRow="0" w:lastRow="0" w:firstColumn="1" w:lastColumn="0" w:oddVBand="0" w:evenVBand="0" w:oddHBand="0" w:evenHBand="0" w:firstRowFirstColumn="0" w:firstRowLastColumn="0" w:lastRowFirstColumn="0" w:lastRowLastColumn="0"/>
            <w:tcW w:w="2335" w:type="dxa"/>
            <w:vAlign w:val="center"/>
            <w:hideMark/>
          </w:tcPr>
          <w:p w14:paraId="7865EDE8" w14:textId="77777777" w:rsidR="006F3D9E" w:rsidRPr="006F3D9E" w:rsidRDefault="006F3D9E" w:rsidP="00625F6B">
            <w:pPr>
              <w:pStyle w:val="NoSpacing"/>
              <w:jc w:val="center"/>
              <w:rPr>
                <w:rFonts w:eastAsia="Times New Roman"/>
                <w:b w:val="0"/>
                <w:bCs w:val="0"/>
              </w:rPr>
            </w:pPr>
            <w:r w:rsidRPr="006F3D9E">
              <w:rPr>
                <w:rFonts w:eastAsia="Times New Roman"/>
              </w:rPr>
              <w:t>Season</w:t>
            </w:r>
          </w:p>
        </w:tc>
        <w:tc>
          <w:tcPr>
            <w:tcW w:w="4415" w:type="dxa"/>
            <w:vAlign w:val="center"/>
            <w:hideMark/>
          </w:tcPr>
          <w:p w14:paraId="7964C521" w14:textId="77777777" w:rsidR="006F3D9E" w:rsidRPr="006F3D9E" w:rsidRDefault="006F3D9E" w:rsidP="00625F6B">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6F3D9E">
              <w:rPr>
                <w:rFonts w:eastAsia="Times New Roman"/>
              </w:rPr>
              <w:t>Capacity Increase (Base + Peaking, MW)</w:t>
            </w:r>
          </w:p>
        </w:tc>
      </w:tr>
      <w:tr w:rsidR="006F3D9E" w:rsidRPr="006F3D9E" w14:paraId="7C671B90" w14:textId="77777777" w:rsidTr="00625F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335" w:type="dxa"/>
            <w:noWrap/>
            <w:vAlign w:val="center"/>
            <w:hideMark/>
          </w:tcPr>
          <w:p w14:paraId="49B05095" w14:textId="77777777" w:rsidR="006F3D9E" w:rsidRPr="006F3D9E" w:rsidRDefault="006F3D9E" w:rsidP="00625F6B">
            <w:pPr>
              <w:pStyle w:val="NoSpacing"/>
              <w:jc w:val="center"/>
              <w:rPr>
                <w:rFonts w:eastAsia="Times New Roman"/>
              </w:rPr>
            </w:pPr>
            <w:r w:rsidRPr="006F3D9E">
              <w:rPr>
                <w:rFonts w:eastAsia="Times New Roman"/>
              </w:rPr>
              <w:t>Winter</w:t>
            </w:r>
          </w:p>
        </w:tc>
        <w:tc>
          <w:tcPr>
            <w:tcW w:w="4415" w:type="dxa"/>
            <w:noWrap/>
            <w:vAlign w:val="center"/>
            <w:hideMark/>
          </w:tcPr>
          <w:p w14:paraId="0C1050C7" w14:textId="0BF6D30A" w:rsidR="006F3D9E" w:rsidRPr="006F3D9E" w:rsidRDefault="006F3D9E" w:rsidP="00625F6B">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F3D9E">
              <w:rPr>
                <w:rFonts w:eastAsia="Times New Roman"/>
              </w:rPr>
              <w:t>9</w:t>
            </w:r>
          </w:p>
        </w:tc>
      </w:tr>
      <w:tr w:rsidR="006F3D9E" w:rsidRPr="006F3D9E" w14:paraId="27444B99" w14:textId="77777777" w:rsidTr="00625F6B">
        <w:trPr>
          <w:trHeight w:val="300"/>
          <w:jc w:val="center"/>
        </w:trPr>
        <w:tc>
          <w:tcPr>
            <w:cnfStyle w:val="001000000000" w:firstRow="0" w:lastRow="0" w:firstColumn="1" w:lastColumn="0" w:oddVBand="0" w:evenVBand="0" w:oddHBand="0" w:evenHBand="0" w:firstRowFirstColumn="0" w:firstRowLastColumn="0" w:lastRowFirstColumn="0" w:lastRowLastColumn="0"/>
            <w:tcW w:w="2335" w:type="dxa"/>
            <w:noWrap/>
            <w:vAlign w:val="center"/>
            <w:hideMark/>
          </w:tcPr>
          <w:p w14:paraId="7F671F25" w14:textId="77777777" w:rsidR="006F3D9E" w:rsidRPr="006F3D9E" w:rsidRDefault="006F3D9E" w:rsidP="00625F6B">
            <w:pPr>
              <w:pStyle w:val="NoSpacing"/>
              <w:jc w:val="center"/>
              <w:rPr>
                <w:rFonts w:eastAsia="Times New Roman"/>
              </w:rPr>
            </w:pPr>
            <w:r w:rsidRPr="006F3D9E">
              <w:rPr>
                <w:rFonts w:eastAsia="Times New Roman"/>
              </w:rPr>
              <w:t>Shoulder</w:t>
            </w:r>
          </w:p>
        </w:tc>
        <w:tc>
          <w:tcPr>
            <w:tcW w:w="4415" w:type="dxa"/>
            <w:noWrap/>
            <w:vAlign w:val="center"/>
            <w:hideMark/>
          </w:tcPr>
          <w:p w14:paraId="3222D457" w14:textId="2F0545C9" w:rsidR="006F3D9E" w:rsidRPr="006F3D9E" w:rsidRDefault="006F3D9E" w:rsidP="00625F6B">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F3D9E">
              <w:rPr>
                <w:rFonts w:eastAsia="Times New Roman"/>
              </w:rPr>
              <w:t>1</w:t>
            </w:r>
            <w:r w:rsidR="00225679">
              <w:rPr>
                <w:rFonts w:eastAsia="Times New Roman"/>
              </w:rPr>
              <w:t>5</w:t>
            </w:r>
          </w:p>
        </w:tc>
      </w:tr>
      <w:tr w:rsidR="006F3D9E" w:rsidRPr="006F3D9E" w14:paraId="59BB6FB7" w14:textId="77777777" w:rsidTr="00625F6B">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335" w:type="dxa"/>
            <w:noWrap/>
            <w:vAlign w:val="center"/>
            <w:hideMark/>
          </w:tcPr>
          <w:p w14:paraId="08BDECFD" w14:textId="77777777" w:rsidR="006F3D9E" w:rsidRPr="006F3D9E" w:rsidRDefault="006F3D9E" w:rsidP="00625F6B">
            <w:pPr>
              <w:pStyle w:val="NoSpacing"/>
              <w:jc w:val="center"/>
              <w:rPr>
                <w:rFonts w:eastAsia="Times New Roman"/>
              </w:rPr>
            </w:pPr>
            <w:r w:rsidRPr="006F3D9E">
              <w:rPr>
                <w:rFonts w:eastAsia="Times New Roman"/>
              </w:rPr>
              <w:t>Summer</w:t>
            </w:r>
          </w:p>
        </w:tc>
        <w:tc>
          <w:tcPr>
            <w:tcW w:w="4415" w:type="dxa"/>
            <w:noWrap/>
            <w:vAlign w:val="center"/>
            <w:hideMark/>
          </w:tcPr>
          <w:p w14:paraId="79396645" w14:textId="3BA6473B" w:rsidR="006F3D9E" w:rsidRPr="006F3D9E" w:rsidRDefault="006F3D9E" w:rsidP="00625F6B">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F3D9E">
              <w:rPr>
                <w:rFonts w:eastAsia="Times New Roman"/>
              </w:rPr>
              <w:t>1</w:t>
            </w:r>
            <w:r w:rsidR="00225679">
              <w:rPr>
                <w:rFonts w:eastAsia="Times New Roman"/>
              </w:rPr>
              <w:t>4</w:t>
            </w:r>
          </w:p>
        </w:tc>
      </w:tr>
    </w:tbl>
    <w:p w14:paraId="296C7B4C" w14:textId="77777777" w:rsidR="00CC6168" w:rsidRDefault="00CC6168" w:rsidP="00625F6B">
      <w:pPr>
        <w:spacing w:before="240"/>
      </w:pPr>
    </w:p>
    <w:p w14:paraId="1280889F" w14:textId="485B0F57" w:rsidR="00C3323A" w:rsidRPr="00C5507D" w:rsidRDefault="00C3323A" w:rsidP="00625F6B">
      <w:pPr>
        <w:spacing w:before="240"/>
      </w:pPr>
      <w:r>
        <w:t xml:space="preserve">Cost and performance for both </w:t>
      </w:r>
      <w:r w:rsidR="00DA55EA">
        <w:t>upgrade</w:t>
      </w:r>
      <w:r>
        <w:t xml:space="preserve"> opportunities are </w:t>
      </w:r>
      <w:r w:rsidR="004F6C39">
        <w:t xml:space="preserve">based on indicative </w:t>
      </w:r>
      <w:r>
        <w:t>proposals from GE.</w:t>
      </w:r>
      <w:r w:rsidR="001B48AF">
        <w:t xml:space="preserve"> These estimates are closely aligned with the expectations of the Company's technical experts and </w:t>
      </w:r>
      <w:r w:rsidR="00204024">
        <w:t>p</w:t>
      </w:r>
      <w:r w:rsidR="001B48AF">
        <w:t xml:space="preserve">lant subject matter experts. While </w:t>
      </w:r>
      <w:r w:rsidR="005E1F0A">
        <w:t xml:space="preserve">expectations are that </w:t>
      </w:r>
      <w:r w:rsidR="001B48AF">
        <w:t xml:space="preserve">these estimates </w:t>
      </w:r>
      <w:r w:rsidR="003F0A5F">
        <w:t>will</w:t>
      </w:r>
      <w:r w:rsidR="001B48AF">
        <w:t xml:space="preserve"> be very close to the final figures, the final commercial commitments will not be available at the time of the IRP filing</w:t>
      </w:r>
      <w:r>
        <w:t>.</w:t>
      </w:r>
    </w:p>
    <w:p w14:paraId="6F18E231" w14:textId="6B5E0981" w:rsidR="00C5507D" w:rsidRDefault="006A37F9" w:rsidP="00625F6B">
      <w:pPr>
        <w:pStyle w:val="Heading1"/>
      </w:pPr>
      <w:r>
        <w:t>Methodology</w:t>
      </w:r>
      <w:r w:rsidR="00C5507D">
        <w:t xml:space="preserve"> </w:t>
      </w:r>
    </w:p>
    <w:p w14:paraId="7935B2D5" w14:textId="7D25F1BD" w:rsidR="00FC01CA" w:rsidRDefault="00FC01CA" w:rsidP="00625F6B">
      <w:r>
        <w:t xml:space="preserve">The Company’s analysis methodology </w:t>
      </w:r>
      <w:r w:rsidR="006959FB">
        <w:t xml:space="preserve">includes </w:t>
      </w:r>
      <w:r w:rsidR="00A35B0B" w:rsidRPr="00A35B0B">
        <w:t xml:space="preserve">a detailed comparison of </w:t>
      </w:r>
      <w:r w:rsidR="006C41CD">
        <w:t xml:space="preserve">the units at </w:t>
      </w:r>
      <w:r w:rsidR="00A35B0B" w:rsidRPr="00A35B0B">
        <w:t>Plant McIntosh with and without the proposed upgrades, providing a direct economic comparison of the two versions of the plant. This approach is applied to both the NGCC and CT upgrade opportunities.</w:t>
      </w:r>
      <w:r>
        <w:t xml:space="preserve"> </w:t>
      </w:r>
    </w:p>
    <w:p w14:paraId="4A872607" w14:textId="3CA1E871" w:rsidR="00A35B0B" w:rsidRDefault="00E25D10" w:rsidP="00625F6B">
      <w:r>
        <w:t>T</w:t>
      </w:r>
      <w:r w:rsidR="00F40AF2">
        <w:t xml:space="preserve">he </w:t>
      </w:r>
      <w:r>
        <w:t>evaluation</w:t>
      </w:r>
      <w:r w:rsidR="5A6BC4E3">
        <w:t xml:space="preserve"> of </w:t>
      </w:r>
      <w:r>
        <w:t xml:space="preserve">the upgrade opportunity for </w:t>
      </w:r>
      <w:r w:rsidR="5A6BC4E3">
        <w:t>Plant McIntosh Units 10-11</w:t>
      </w:r>
      <w:r w:rsidR="5F8BB6DF">
        <w:t xml:space="preserve"> </w:t>
      </w:r>
      <w:r w:rsidR="30142ED3">
        <w:t>reflect</w:t>
      </w:r>
      <w:r w:rsidR="5184853A">
        <w:t>s</w:t>
      </w:r>
      <w:r w:rsidR="30142ED3">
        <w:t xml:space="preserve"> </w:t>
      </w:r>
      <w:r w:rsidR="53D3B2A8">
        <w:t xml:space="preserve">a </w:t>
      </w:r>
      <w:r w:rsidR="52B3FA56">
        <w:t>higher cost</w:t>
      </w:r>
      <w:r w:rsidR="30142ED3">
        <w:t xml:space="preserve"> to complete the upgrade</w:t>
      </w:r>
      <w:r w:rsidR="5AEB3598">
        <w:t>s</w:t>
      </w:r>
      <w:r w:rsidR="00CF580A">
        <w:t>,</w:t>
      </w:r>
      <w:r w:rsidR="30142ED3">
        <w:t xml:space="preserve"> as </w:t>
      </w:r>
      <w:r w:rsidR="5F98A94C">
        <w:t>well as</w:t>
      </w:r>
      <w:r w:rsidR="30142ED3">
        <w:t xml:space="preserve"> </w:t>
      </w:r>
      <w:r w:rsidR="223060DA">
        <w:t xml:space="preserve">the associated </w:t>
      </w:r>
      <w:r w:rsidR="30142ED3">
        <w:t>benefit</w:t>
      </w:r>
      <w:r w:rsidR="47CA20CD">
        <w:t>s</w:t>
      </w:r>
      <w:r w:rsidR="30142ED3">
        <w:t xml:space="preserve">. </w:t>
      </w:r>
      <w:r w:rsidR="0A32414C">
        <w:t xml:space="preserve">The benefits </w:t>
      </w:r>
      <w:r w:rsidR="00F40AF2">
        <w:t>include a capacity benefit</w:t>
      </w:r>
      <w:r w:rsidR="606CB391">
        <w:t xml:space="preserve">, representative of the </w:t>
      </w:r>
      <w:r w:rsidR="7796246D">
        <w:t>larger facility</w:t>
      </w:r>
      <w:r w:rsidR="136BEABA">
        <w:t>,</w:t>
      </w:r>
      <w:r w:rsidR="00F40AF2">
        <w:t xml:space="preserve"> as well as production cost savings </w:t>
      </w:r>
      <w:r w:rsidR="062A8B91">
        <w:t xml:space="preserve">due to </w:t>
      </w:r>
      <w:r w:rsidR="00F40AF2">
        <w:t>the improved heat rate</w:t>
      </w:r>
      <w:r w:rsidR="4D4FD7A0">
        <w:t xml:space="preserve"> and increased size</w:t>
      </w:r>
      <w:r w:rsidR="00554E05">
        <w:t xml:space="preserve">, </w:t>
      </w:r>
      <w:r w:rsidR="00FB1794">
        <w:t>although heat rate improvements are not anticipated in all operating modes</w:t>
      </w:r>
      <w:r w:rsidR="203D9B4A">
        <w:t>. The</w:t>
      </w:r>
      <w:r w:rsidR="61528388">
        <w:t xml:space="preserve"> cost </w:t>
      </w:r>
      <w:r w:rsidR="00F40AF2">
        <w:t xml:space="preserve">accounts for the </w:t>
      </w:r>
      <w:r w:rsidR="0077799F">
        <w:t>operation and maintenance of</w:t>
      </w:r>
      <w:r w:rsidR="00F40AF2">
        <w:t xml:space="preserve"> the upgraded version of the</w:t>
      </w:r>
      <w:r w:rsidR="006C41CD">
        <w:t xml:space="preserve"> units</w:t>
      </w:r>
      <w:r w:rsidR="6DD39C5B">
        <w:t xml:space="preserve"> as well as the cost to upgrade the </w:t>
      </w:r>
      <w:r w:rsidR="3F24ED3B">
        <w:t>resources</w:t>
      </w:r>
      <w:r w:rsidR="203D9B4A">
        <w:t>.</w:t>
      </w:r>
      <w:r w:rsidR="00F40AF2">
        <w:t xml:space="preserve"> </w:t>
      </w:r>
      <w:r w:rsidR="471C4EE3">
        <w:t xml:space="preserve">A consistent set </w:t>
      </w:r>
      <w:r w:rsidR="4A7D4313">
        <w:t xml:space="preserve">of applicable </w:t>
      </w:r>
      <w:r w:rsidR="00F40AF2">
        <w:t xml:space="preserve">costs and benefits </w:t>
      </w:r>
      <w:r w:rsidR="00223A75">
        <w:t xml:space="preserve">are </w:t>
      </w:r>
      <w:r w:rsidR="00F40AF2">
        <w:t xml:space="preserve">then modeled for a version of the </w:t>
      </w:r>
      <w:r w:rsidR="00C4622B">
        <w:t>Plant McIntosh Units 10-11</w:t>
      </w:r>
      <w:r w:rsidR="00F40AF2">
        <w:t xml:space="preserve"> without </w:t>
      </w:r>
      <w:r w:rsidR="38E7287A">
        <w:t>upgrades</w:t>
      </w:r>
      <w:r w:rsidR="00F40AF2">
        <w:t xml:space="preserve">. </w:t>
      </w:r>
      <w:r w:rsidR="323B105B">
        <w:t>This version of Plant McIntosh Units 10-11</w:t>
      </w:r>
      <w:r w:rsidR="0749A719">
        <w:t xml:space="preserve">, consistent with </w:t>
      </w:r>
      <w:r w:rsidR="5AB5C62D">
        <w:t xml:space="preserve">its </w:t>
      </w:r>
      <w:r w:rsidR="0749A719">
        <w:t xml:space="preserve">current operating condition, </w:t>
      </w:r>
      <w:r w:rsidR="5027FA75">
        <w:t xml:space="preserve">has </w:t>
      </w:r>
      <w:r w:rsidR="323B105B">
        <w:t xml:space="preserve">less capacity value and a </w:t>
      </w:r>
      <w:r w:rsidR="002B069A">
        <w:t>higher</w:t>
      </w:r>
      <w:r w:rsidR="14BF9CE6">
        <w:t xml:space="preserve"> </w:t>
      </w:r>
      <w:r w:rsidR="323B105B">
        <w:t>heat rate</w:t>
      </w:r>
      <w:r w:rsidR="45B5EDA6">
        <w:t xml:space="preserve"> th</w:t>
      </w:r>
      <w:r w:rsidR="5B78AFF9">
        <w:t>a</w:t>
      </w:r>
      <w:r w:rsidR="45B5EDA6">
        <w:t xml:space="preserve">n the upgraded </w:t>
      </w:r>
      <w:r w:rsidR="26C8D68E">
        <w:t>version</w:t>
      </w:r>
      <w:r w:rsidR="323B105B">
        <w:t>.</w:t>
      </w:r>
      <w:r w:rsidR="43EC47F5">
        <w:t xml:space="preserve"> However, the cost to continue operating Plant McIntosh </w:t>
      </w:r>
      <w:r w:rsidR="355E3EED">
        <w:t xml:space="preserve">Units 10-11 </w:t>
      </w:r>
      <w:r w:rsidR="43EC47F5">
        <w:t>without upgrades is lower as it</w:t>
      </w:r>
      <w:r w:rsidR="381A7DDD">
        <w:t xml:space="preserve"> does </w:t>
      </w:r>
      <w:r w:rsidR="381A7DDD">
        <w:lastRenderedPageBreak/>
        <w:t>not include costs associated with the upgrade.</w:t>
      </w:r>
      <w:r w:rsidR="203D9B4A">
        <w:t xml:space="preserve"> </w:t>
      </w:r>
      <w:r w:rsidR="00F40AF2">
        <w:t xml:space="preserve">By directly comparing </w:t>
      </w:r>
      <w:r w:rsidR="203D9B4A">
        <w:t>the</w:t>
      </w:r>
      <w:r w:rsidR="6B8B63B1">
        <w:t>se</w:t>
      </w:r>
      <w:r w:rsidR="00F40AF2">
        <w:t xml:space="preserve"> two versions of </w:t>
      </w:r>
      <w:r w:rsidR="00C4622B">
        <w:t>Plant McIntosh Units 10-11</w:t>
      </w:r>
      <w:r w:rsidR="00F40AF2">
        <w:t>, the analysis determines the most economic pathway for continu</w:t>
      </w:r>
      <w:r w:rsidR="00CF56C4">
        <w:t>ed</w:t>
      </w:r>
      <w:r w:rsidR="00F40AF2">
        <w:t xml:space="preserve"> operations.</w:t>
      </w:r>
    </w:p>
    <w:p w14:paraId="3A25B0B5" w14:textId="51B157EF" w:rsidR="00A83684" w:rsidRDefault="00A83684" w:rsidP="00625F6B">
      <w:r w:rsidRPr="00A83684">
        <w:t>Similarly, for the Plant McIntosh Units 1</w:t>
      </w:r>
      <w:r w:rsidR="009C504D">
        <w:t>A</w:t>
      </w:r>
      <w:r w:rsidRPr="00A83684">
        <w:t>-8</w:t>
      </w:r>
      <w:r w:rsidR="009C504D">
        <w:t>A</w:t>
      </w:r>
      <w:r w:rsidRPr="00A83684">
        <w:t xml:space="preserve"> upgrades, the same comparative approach is utilized. The capacity and energy benefits of the upgraded Plant McIntosh Units 1</w:t>
      </w:r>
      <w:r w:rsidR="009C504D">
        <w:t>A</w:t>
      </w:r>
      <w:r w:rsidRPr="00A83684">
        <w:t>-8</w:t>
      </w:r>
      <w:r w:rsidR="009C504D">
        <w:t>A</w:t>
      </w:r>
      <w:r w:rsidRPr="00A83684">
        <w:t>, along with the costs to operate these units, are modeled. Likewise, the costs and benefits of the simple cycle CTs without the upgrades are also modeled. The two versions of the CTs are then directly compared to identify the most cost-effective strategy for their operation.</w:t>
      </w:r>
    </w:p>
    <w:p w14:paraId="0D84F5AC" w14:textId="1FB1DD8A" w:rsidR="32015A43" w:rsidRDefault="006A37F9">
      <w:r>
        <w:t xml:space="preserve">The cost-benefit analyses for the </w:t>
      </w:r>
      <w:r w:rsidR="003549AD">
        <w:t xml:space="preserve">upgrades </w:t>
      </w:r>
      <w:r>
        <w:t xml:space="preserve">were performed by comparing the existing cost and performance to the </w:t>
      </w:r>
      <w:r w:rsidR="00DA55EA">
        <w:t>upgrade</w:t>
      </w:r>
      <w:r>
        <w:t>d units</w:t>
      </w:r>
      <w:r w:rsidR="00337193">
        <w:t>’</w:t>
      </w:r>
      <w:r>
        <w:t xml:space="preserve"> cost and performance. The analyses were performed this way for both the </w:t>
      </w:r>
      <w:r w:rsidDel="004D7F5A">
        <w:t>NG</w:t>
      </w:r>
      <w:r w:rsidR="004D7F5A">
        <w:t xml:space="preserve">CC </w:t>
      </w:r>
      <w:r>
        <w:t xml:space="preserve">and the simple cycle </w:t>
      </w:r>
      <w:r w:rsidR="004D7F5A">
        <w:t>CT</w:t>
      </w:r>
      <w:r>
        <w:t xml:space="preserve">. </w:t>
      </w:r>
    </w:p>
    <w:p w14:paraId="005628EF" w14:textId="3A292B65" w:rsidR="00114710" w:rsidRDefault="00247BBE" w:rsidP="00472296">
      <w:pPr>
        <w:pStyle w:val="Heading1"/>
      </w:pPr>
      <w:r>
        <w:t xml:space="preserve">Key Analysis </w:t>
      </w:r>
      <w:r w:rsidR="009B0ED8">
        <w:t>Assumptions</w:t>
      </w:r>
    </w:p>
    <w:p w14:paraId="13180FF0" w14:textId="054D681A" w:rsidR="00B31FD5" w:rsidRDefault="7E59F4C1" w:rsidP="00B31FD5">
      <w:r w:rsidRPr="4AA0B6D6">
        <w:rPr>
          <w:rFonts w:cstheme="minorBidi"/>
        </w:rPr>
        <w:t>The following sections outline key assumptions used in the cost-benefit analysis.</w:t>
      </w:r>
      <w:r>
        <w:t xml:space="preserve"> The analysis results were evaluated on a net present value basis in 202</w:t>
      </w:r>
      <w:r w:rsidR="000D30BE">
        <w:t>5</w:t>
      </w:r>
      <w:r>
        <w:t xml:space="preserve"> dollars. </w:t>
      </w:r>
      <w:r w:rsidR="00B31FD5">
        <w:t xml:space="preserve">The analysis for </w:t>
      </w:r>
      <w:r w:rsidR="00B31FD5" w:rsidRPr="00A35B0B">
        <w:t>Plant McIntosh</w:t>
      </w:r>
      <w:r w:rsidR="00B31FD5">
        <w:t xml:space="preserve"> Units 10-11</w:t>
      </w:r>
      <w:r w:rsidR="00B31FD5" w:rsidRPr="00A35B0B">
        <w:t xml:space="preserve"> </w:t>
      </w:r>
      <w:r w:rsidR="00B31FD5">
        <w:t xml:space="preserve">assumed an in-service date for the </w:t>
      </w:r>
      <w:r w:rsidR="00DA55EA">
        <w:t>upgrade</w:t>
      </w:r>
      <w:r w:rsidR="00B31FD5">
        <w:t xml:space="preserve"> of January 1, 2029, with the study running through the current retirement assumption of December 31, 2050. For </w:t>
      </w:r>
      <w:r w:rsidR="00B31FD5" w:rsidRPr="00A83684">
        <w:t xml:space="preserve">Plant McIntosh Units </w:t>
      </w:r>
      <w:r w:rsidR="00B31FD5">
        <w:t>1</w:t>
      </w:r>
      <w:r w:rsidR="00B97029">
        <w:t>A</w:t>
      </w:r>
      <w:r w:rsidR="00B31FD5">
        <w:t>-8</w:t>
      </w:r>
      <w:r w:rsidR="00B97029">
        <w:t>A</w:t>
      </w:r>
      <w:r w:rsidR="00B31FD5">
        <w:t>, the in-service dates are staggered in the study starting in 2026 and carrying through 203</w:t>
      </w:r>
      <w:r w:rsidR="00B822C4">
        <w:t>3</w:t>
      </w:r>
      <w:r w:rsidR="00B31FD5">
        <w:t xml:space="preserve">, with one unit </w:t>
      </w:r>
      <w:r w:rsidR="00DA55EA">
        <w:t>upgrade</w:t>
      </w:r>
      <w:r w:rsidR="00B31FD5">
        <w:t xml:space="preserve"> occurring per year</w:t>
      </w:r>
      <w:r w:rsidR="008E06A6">
        <w:t>, with the study running through December 31, 2054</w:t>
      </w:r>
      <w:r w:rsidR="00932425">
        <w:t>.</w:t>
      </w:r>
    </w:p>
    <w:p w14:paraId="24A4D02A" w14:textId="58656230" w:rsidR="388868BF" w:rsidRDefault="388868BF" w:rsidP="00813AF1">
      <w:pPr>
        <w:pStyle w:val="Heading2"/>
      </w:pPr>
      <w:r>
        <w:lastRenderedPageBreak/>
        <w:t xml:space="preserve">Upgrade Schedule </w:t>
      </w:r>
    </w:p>
    <w:p w14:paraId="47F43008" w14:textId="0B119251" w:rsidR="388868BF" w:rsidRDefault="388868BF" w:rsidP="004C3FD6">
      <w:pPr>
        <w:keepNext/>
        <w:keepLines/>
      </w:pPr>
      <w:r>
        <w:t>The table</w:t>
      </w:r>
      <w:r w:rsidR="00990182">
        <w:t>s</w:t>
      </w:r>
      <w:r>
        <w:t xml:space="preserve"> below summarize the upgrade schedule for Plant McIntosh Units 1</w:t>
      </w:r>
      <w:r w:rsidR="00B97029">
        <w:t>A</w:t>
      </w:r>
      <w:r>
        <w:t>-8</w:t>
      </w:r>
      <w:r w:rsidR="00B97029">
        <w:t>A</w:t>
      </w:r>
      <w:r>
        <w:t xml:space="preserve"> and Plant McIntosh</w:t>
      </w:r>
      <w:r w:rsidR="00B05972">
        <w:t> </w:t>
      </w:r>
      <w:r>
        <w:t xml:space="preserve">Units 10-11. </w:t>
      </w:r>
    </w:p>
    <w:p w14:paraId="3DCCE412" w14:textId="25D66492" w:rsidR="00990182" w:rsidRDefault="00990182" w:rsidP="002A164B">
      <w:pPr>
        <w:pStyle w:val="Title"/>
      </w:pPr>
      <w:r>
        <w:t xml:space="preserve">Table 3. </w:t>
      </w:r>
      <w:r w:rsidR="00257B8E">
        <w:t xml:space="preserve">Capacity </w:t>
      </w:r>
      <w:r w:rsidR="00D743BF">
        <w:t>A</w:t>
      </w:r>
      <w:r w:rsidR="00257B8E">
        <w:t xml:space="preserve">ddition </w:t>
      </w:r>
      <w:r w:rsidR="00D743BF">
        <w:t>S</w:t>
      </w:r>
      <w:r w:rsidR="00257B8E">
        <w:t xml:space="preserve">chedule </w:t>
      </w:r>
      <w:r w:rsidR="00733650">
        <w:t xml:space="preserve">for </w:t>
      </w:r>
      <w:r w:rsidR="003F1594">
        <w:t>NG</w:t>
      </w:r>
      <w:r w:rsidR="00733650">
        <w:t xml:space="preserve">CC and CT </w:t>
      </w:r>
      <w:r w:rsidR="00D743BF">
        <w:t>U</w:t>
      </w:r>
      <w:r w:rsidR="00DA55EA">
        <w:t>pgrade</w:t>
      </w:r>
      <w:r w:rsidR="00733650">
        <w:t>s.</w:t>
      </w:r>
    </w:p>
    <w:tbl>
      <w:tblPr>
        <w:tblW w:w="9343" w:type="dxa"/>
        <w:jc w:val="center"/>
        <w:shd w:val="clear" w:color="auto" w:fill="FFFFFF" w:themeFill="background1"/>
        <w:tblLook w:val="04A0" w:firstRow="1" w:lastRow="0" w:firstColumn="1" w:lastColumn="0" w:noHBand="0" w:noVBand="1"/>
      </w:tblPr>
      <w:tblGrid>
        <w:gridCol w:w="1556"/>
        <w:gridCol w:w="1307"/>
        <w:gridCol w:w="720"/>
        <w:gridCol w:w="720"/>
        <w:gridCol w:w="720"/>
        <w:gridCol w:w="720"/>
        <w:gridCol w:w="720"/>
        <w:gridCol w:w="720"/>
        <w:gridCol w:w="720"/>
        <w:gridCol w:w="720"/>
        <w:gridCol w:w="720"/>
      </w:tblGrid>
      <w:tr w:rsidR="004D0A96" w:rsidRPr="008B1DBD" w14:paraId="45673549" w14:textId="77777777" w:rsidTr="002A164B">
        <w:trPr>
          <w:trHeight w:val="576"/>
          <w:jc w:val="center"/>
        </w:trPr>
        <w:tc>
          <w:tcPr>
            <w:tcW w:w="1556" w:type="dxa"/>
            <w:tcBorders>
              <w:top w:val="double" w:sz="4" w:space="0" w:color="auto"/>
              <w:left w:val="nil"/>
              <w:bottom w:val="single" w:sz="4" w:space="0" w:color="auto"/>
              <w:right w:val="nil"/>
            </w:tcBorders>
            <w:shd w:val="clear" w:color="auto" w:fill="FFFFFF" w:themeFill="background1"/>
            <w:vAlign w:val="center"/>
            <w:hideMark/>
          </w:tcPr>
          <w:p w14:paraId="1FA3EE14" w14:textId="0350E9CF" w:rsidR="004D0A96" w:rsidRPr="008B1DBD" w:rsidRDefault="004D0A96" w:rsidP="004D0A96">
            <w:pPr>
              <w:keepNext/>
              <w:keepLines/>
              <w:spacing w:after="0" w:line="240" w:lineRule="auto"/>
              <w:jc w:val="center"/>
              <w:rPr>
                <w:rFonts w:ascii="Aptos Narrow" w:eastAsia="Times New Roman" w:hAnsi="Aptos Narrow" w:cs="Times New Roman"/>
                <w:i/>
                <w:iCs/>
                <w:color w:val="000000"/>
              </w:rPr>
            </w:pPr>
            <w:r w:rsidRPr="008B1DBD">
              <w:rPr>
                <w:rFonts w:ascii="Aptos Narrow" w:eastAsia="Times New Roman" w:hAnsi="Aptos Narrow" w:cs="Times New Roman"/>
                <w:i/>
                <w:iCs/>
                <w:color w:val="000000"/>
              </w:rPr>
              <w:t>Incremental Capacity (MW)</w:t>
            </w:r>
          </w:p>
        </w:tc>
        <w:tc>
          <w:tcPr>
            <w:tcW w:w="1307" w:type="dxa"/>
            <w:tcBorders>
              <w:top w:val="double" w:sz="4" w:space="0" w:color="auto"/>
              <w:left w:val="nil"/>
              <w:bottom w:val="single" w:sz="4" w:space="0" w:color="auto"/>
              <w:right w:val="nil"/>
            </w:tcBorders>
            <w:shd w:val="clear" w:color="auto" w:fill="FFFFFF" w:themeFill="background1"/>
            <w:vAlign w:val="center"/>
            <w:hideMark/>
          </w:tcPr>
          <w:p w14:paraId="6EF145A9" w14:textId="1DAEA4F8" w:rsidR="004D0A96" w:rsidRPr="002A164B" w:rsidRDefault="004D0A96" w:rsidP="004D0A96">
            <w:pPr>
              <w:keepNext/>
              <w:keepLines/>
              <w:spacing w:after="0" w:line="240" w:lineRule="auto"/>
              <w:jc w:val="center"/>
              <w:rPr>
                <w:rFonts w:ascii="Aptos Narrow" w:eastAsia="Times New Roman" w:hAnsi="Aptos Narrow" w:cs="Times New Roman"/>
                <w:i/>
                <w:color w:val="000000"/>
                <w:sz w:val="18"/>
                <w:szCs w:val="18"/>
              </w:rPr>
            </w:pPr>
            <w:r w:rsidRPr="002A164B">
              <w:rPr>
                <w:rFonts w:ascii="Aptos Narrow" w:eastAsia="Times New Roman" w:hAnsi="Aptos Narrow" w:cs="Times New Roman"/>
                <w:i/>
                <w:color w:val="000000" w:themeColor="text1"/>
                <w:sz w:val="18"/>
                <w:szCs w:val="18"/>
              </w:rPr>
              <w:t>Outage Year</w:t>
            </w:r>
            <w:r w:rsidR="00525A4A">
              <w:rPr>
                <w:rStyle w:val="FootnoteReference"/>
                <w:rFonts w:ascii="Aptos Narrow" w:eastAsia="Times New Roman" w:hAnsi="Aptos Narrow" w:cs="Times New Roman"/>
                <w:i/>
                <w:color w:val="000000" w:themeColor="text1"/>
                <w:sz w:val="18"/>
                <w:szCs w:val="18"/>
              </w:rPr>
              <w:footnoteReference w:id="2"/>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390A60C7"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2026</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5E2F79D9"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2027</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5E626594"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2028</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7FDFC03E"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2029</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45DF16CA"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2030</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1A7A1E6C"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2031</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59EDE34F"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2032</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163631E2"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2033</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382458F5" w14:textId="39C0E5FC"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2034</w:t>
            </w:r>
            <w:r>
              <w:rPr>
                <w:rFonts w:ascii="Aptos Narrow" w:eastAsia="Times New Roman" w:hAnsi="Aptos Narrow" w:cs="Times New Roman"/>
                <w:color w:val="000000" w:themeColor="text1"/>
                <w:sz w:val="18"/>
                <w:szCs w:val="18"/>
              </w:rPr>
              <w:t>+</w:t>
            </w:r>
          </w:p>
        </w:tc>
      </w:tr>
      <w:tr w:rsidR="004D0A96" w:rsidRPr="008B1DBD" w14:paraId="01A6141D"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2373F8DA" w14:textId="77777777" w:rsidR="004D0A96" w:rsidRPr="008B1DBD" w:rsidRDefault="004D0A96" w:rsidP="002A164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1A</w:t>
            </w:r>
          </w:p>
        </w:tc>
        <w:tc>
          <w:tcPr>
            <w:tcW w:w="1307" w:type="dxa"/>
            <w:tcBorders>
              <w:top w:val="nil"/>
              <w:left w:val="nil"/>
              <w:bottom w:val="nil"/>
              <w:right w:val="nil"/>
            </w:tcBorders>
            <w:shd w:val="clear" w:color="auto" w:fill="FFFFFF" w:themeFill="background1"/>
            <w:noWrap/>
            <w:vAlign w:val="center"/>
            <w:hideMark/>
          </w:tcPr>
          <w:p w14:paraId="331E9A0A"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2029</w:t>
            </w:r>
          </w:p>
        </w:tc>
        <w:tc>
          <w:tcPr>
            <w:tcW w:w="720" w:type="dxa"/>
            <w:tcBorders>
              <w:top w:val="nil"/>
              <w:left w:val="nil"/>
              <w:bottom w:val="nil"/>
              <w:right w:val="nil"/>
            </w:tcBorders>
            <w:shd w:val="clear" w:color="auto" w:fill="FFFFFF" w:themeFill="background1"/>
            <w:noWrap/>
            <w:vAlign w:val="center"/>
            <w:hideMark/>
          </w:tcPr>
          <w:p w14:paraId="3808391D" w14:textId="629FDA14"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E83F251" w14:textId="297E0B55"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16F3CCAB" w14:textId="63857C17"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1FF7B4A" w14:textId="12F671C0"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61297E14" w14:textId="0CDC5B06"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9A66A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0FD6A7F3" w14:textId="0773F8E0"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38F5D139" w14:textId="7162E2AE"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968372C" w14:textId="799F1D2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3E19670E" w14:textId="682E4964"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r>
      <w:tr w:rsidR="004D0A96" w:rsidRPr="008B1DBD" w14:paraId="2B9197C7"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5B5E448C" w14:textId="77777777" w:rsidR="004D0A96" w:rsidRPr="008B1DBD" w:rsidRDefault="004D0A96" w:rsidP="002A164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2A</w:t>
            </w:r>
          </w:p>
        </w:tc>
        <w:tc>
          <w:tcPr>
            <w:tcW w:w="1307" w:type="dxa"/>
            <w:tcBorders>
              <w:top w:val="nil"/>
              <w:left w:val="nil"/>
              <w:bottom w:val="nil"/>
              <w:right w:val="nil"/>
            </w:tcBorders>
            <w:shd w:val="clear" w:color="auto" w:fill="FFFFFF" w:themeFill="background1"/>
            <w:noWrap/>
            <w:vAlign w:val="center"/>
            <w:hideMark/>
          </w:tcPr>
          <w:p w14:paraId="4A789F8C"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2028</w:t>
            </w:r>
          </w:p>
        </w:tc>
        <w:tc>
          <w:tcPr>
            <w:tcW w:w="720" w:type="dxa"/>
            <w:tcBorders>
              <w:top w:val="nil"/>
              <w:left w:val="nil"/>
              <w:bottom w:val="nil"/>
              <w:right w:val="nil"/>
            </w:tcBorders>
            <w:shd w:val="clear" w:color="auto" w:fill="FFFFFF" w:themeFill="background1"/>
            <w:noWrap/>
            <w:vAlign w:val="center"/>
            <w:hideMark/>
          </w:tcPr>
          <w:p w14:paraId="108D8BCA" w14:textId="7673E8DF"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634F6">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1387444" w14:textId="57B9AD85"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0DD10ACE" w14:textId="5AE77F84"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79839DC" w14:textId="52C274A4"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ED211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15F0692B" w14:textId="0901A653"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9A66A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2FF4B98" w14:textId="399EB690"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5703F02B" w14:textId="18CE8184"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D217551" w14:textId="454B5834"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179E7A26" w14:textId="7683A605"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C2B2D">
              <w:rPr>
                <w:rFonts w:ascii="Aptos Narrow" w:eastAsia="Times New Roman" w:hAnsi="Aptos Narrow" w:cs="Times New Roman"/>
                <w:color w:val="000000" w:themeColor="text1"/>
                <w:sz w:val="18"/>
                <w:szCs w:val="18"/>
              </w:rPr>
              <w:t>9.3</w:t>
            </w:r>
          </w:p>
        </w:tc>
      </w:tr>
      <w:tr w:rsidR="004D0A96" w:rsidRPr="008B1DBD" w14:paraId="5C392E15"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0B787AEC" w14:textId="77777777" w:rsidR="004D0A96" w:rsidRPr="008B1DBD" w:rsidRDefault="004D0A96" w:rsidP="002A164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3A</w:t>
            </w:r>
          </w:p>
        </w:tc>
        <w:tc>
          <w:tcPr>
            <w:tcW w:w="1307" w:type="dxa"/>
            <w:tcBorders>
              <w:top w:val="nil"/>
              <w:left w:val="nil"/>
              <w:bottom w:val="nil"/>
              <w:right w:val="nil"/>
            </w:tcBorders>
            <w:shd w:val="clear" w:color="auto" w:fill="FFFFFF" w:themeFill="background1"/>
            <w:noWrap/>
            <w:vAlign w:val="center"/>
            <w:hideMark/>
          </w:tcPr>
          <w:p w14:paraId="28106A1B"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2031</w:t>
            </w:r>
          </w:p>
        </w:tc>
        <w:tc>
          <w:tcPr>
            <w:tcW w:w="720" w:type="dxa"/>
            <w:tcBorders>
              <w:top w:val="nil"/>
              <w:left w:val="nil"/>
              <w:bottom w:val="nil"/>
              <w:right w:val="nil"/>
            </w:tcBorders>
            <w:shd w:val="clear" w:color="auto" w:fill="FFFFFF" w:themeFill="background1"/>
            <w:noWrap/>
            <w:vAlign w:val="center"/>
            <w:hideMark/>
          </w:tcPr>
          <w:p w14:paraId="18C35465" w14:textId="324AA054"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634F6">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18895E37" w14:textId="5B7EA2D2"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68F02E4F" w14:textId="24394621"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612D6DBB" w14:textId="444432C9"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6D78164" w14:textId="09BDCA61"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348BA6BB" w14:textId="5109ADC6"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6C881FC2" w14:textId="3384F392"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781EF8">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3D374EC9" w14:textId="652BA5E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781EF8">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0DD651DC" w14:textId="24D135F1"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27C47">
              <w:rPr>
                <w:rFonts w:ascii="Aptos Narrow" w:eastAsia="Times New Roman" w:hAnsi="Aptos Narrow" w:cs="Times New Roman"/>
                <w:color w:val="000000" w:themeColor="text1"/>
                <w:sz w:val="18"/>
                <w:szCs w:val="18"/>
              </w:rPr>
              <w:t>9.3</w:t>
            </w:r>
          </w:p>
        </w:tc>
      </w:tr>
      <w:tr w:rsidR="004D0A96" w:rsidRPr="008B1DBD" w14:paraId="5256B143"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18A9BAF1" w14:textId="77777777" w:rsidR="004D0A96" w:rsidRPr="008B1DBD" w:rsidRDefault="004D0A96" w:rsidP="002A164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4A</w:t>
            </w:r>
          </w:p>
        </w:tc>
        <w:tc>
          <w:tcPr>
            <w:tcW w:w="1307" w:type="dxa"/>
            <w:tcBorders>
              <w:top w:val="nil"/>
              <w:left w:val="nil"/>
              <w:bottom w:val="nil"/>
              <w:right w:val="nil"/>
            </w:tcBorders>
            <w:shd w:val="clear" w:color="auto" w:fill="FFFFFF" w:themeFill="background1"/>
            <w:noWrap/>
            <w:vAlign w:val="center"/>
            <w:hideMark/>
          </w:tcPr>
          <w:p w14:paraId="427564D3"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2033</w:t>
            </w:r>
          </w:p>
        </w:tc>
        <w:tc>
          <w:tcPr>
            <w:tcW w:w="720" w:type="dxa"/>
            <w:tcBorders>
              <w:top w:val="nil"/>
              <w:left w:val="nil"/>
              <w:bottom w:val="nil"/>
              <w:right w:val="nil"/>
            </w:tcBorders>
            <w:shd w:val="clear" w:color="auto" w:fill="FFFFFF" w:themeFill="background1"/>
            <w:noWrap/>
            <w:vAlign w:val="center"/>
            <w:hideMark/>
          </w:tcPr>
          <w:p w14:paraId="2CA9D21D" w14:textId="73041EAB"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634F6">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09EE65C0" w14:textId="48F5E966"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19C2279B" w14:textId="151923CF"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48762945" w14:textId="007F6B2F"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781A0C3D" w14:textId="333F9948"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1A5467A4" w14:textId="33AFF29C"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3318AC36" w14:textId="606F18CE"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7D449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54935ED8" w14:textId="160D6650"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7D449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34AA6C65" w14:textId="090F181A"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27C47">
              <w:rPr>
                <w:rFonts w:ascii="Aptos Narrow" w:eastAsia="Times New Roman" w:hAnsi="Aptos Narrow" w:cs="Times New Roman"/>
                <w:color w:val="000000" w:themeColor="text1"/>
                <w:sz w:val="18"/>
                <w:szCs w:val="18"/>
              </w:rPr>
              <w:t>9.3</w:t>
            </w:r>
          </w:p>
        </w:tc>
      </w:tr>
      <w:tr w:rsidR="004D0A96" w:rsidRPr="008B1DBD" w14:paraId="3C540BD3"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62DB3F90" w14:textId="77777777" w:rsidR="004D0A96" w:rsidRPr="008B1DBD" w:rsidRDefault="004D0A96" w:rsidP="002A164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5A</w:t>
            </w:r>
          </w:p>
        </w:tc>
        <w:tc>
          <w:tcPr>
            <w:tcW w:w="1307" w:type="dxa"/>
            <w:tcBorders>
              <w:top w:val="nil"/>
              <w:left w:val="nil"/>
              <w:bottom w:val="nil"/>
              <w:right w:val="nil"/>
            </w:tcBorders>
            <w:shd w:val="clear" w:color="auto" w:fill="FFFFFF" w:themeFill="background1"/>
            <w:noWrap/>
            <w:vAlign w:val="center"/>
            <w:hideMark/>
          </w:tcPr>
          <w:p w14:paraId="10226A8E"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2032</w:t>
            </w:r>
          </w:p>
        </w:tc>
        <w:tc>
          <w:tcPr>
            <w:tcW w:w="720" w:type="dxa"/>
            <w:tcBorders>
              <w:top w:val="nil"/>
              <w:left w:val="nil"/>
              <w:bottom w:val="nil"/>
              <w:right w:val="nil"/>
            </w:tcBorders>
            <w:shd w:val="clear" w:color="auto" w:fill="FFFFFF" w:themeFill="background1"/>
            <w:noWrap/>
            <w:vAlign w:val="center"/>
            <w:hideMark/>
          </w:tcPr>
          <w:p w14:paraId="135E8B00" w14:textId="192E0A92"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634F6">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D07486E" w14:textId="16582F5D"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0B727E1A" w14:textId="501DB3FA"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D76E98">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425C72A1" w14:textId="1E8E4DF5"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6FA65364" w14:textId="545180C7"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5ADA196A" w14:textId="7D61C01D"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0D406E">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7C0DDB89" w14:textId="2A142314"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3AAC036B" w14:textId="77AEA789"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ED211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740BE208" w14:textId="0798BBD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27C47">
              <w:rPr>
                <w:rFonts w:ascii="Aptos Narrow" w:eastAsia="Times New Roman" w:hAnsi="Aptos Narrow" w:cs="Times New Roman"/>
                <w:color w:val="000000" w:themeColor="text1"/>
                <w:sz w:val="18"/>
                <w:szCs w:val="18"/>
              </w:rPr>
              <w:t>9.3</w:t>
            </w:r>
          </w:p>
        </w:tc>
      </w:tr>
      <w:tr w:rsidR="004D0A96" w:rsidRPr="008B1DBD" w14:paraId="3792D44D"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7F566175" w14:textId="77777777" w:rsidR="004D0A96" w:rsidRPr="008B1DBD" w:rsidRDefault="004D0A96" w:rsidP="002A164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6A</w:t>
            </w:r>
          </w:p>
        </w:tc>
        <w:tc>
          <w:tcPr>
            <w:tcW w:w="1307" w:type="dxa"/>
            <w:tcBorders>
              <w:top w:val="nil"/>
              <w:left w:val="nil"/>
              <w:bottom w:val="nil"/>
              <w:right w:val="nil"/>
            </w:tcBorders>
            <w:shd w:val="clear" w:color="auto" w:fill="FFFFFF" w:themeFill="background1"/>
            <w:noWrap/>
            <w:vAlign w:val="center"/>
            <w:hideMark/>
          </w:tcPr>
          <w:p w14:paraId="2FE5D478"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2026</w:t>
            </w:r>
          </w:p>
        </w:tc>
        <w:tc>
          <w:tcPr>
            <w:tcW w:w="720" w:type="dxa"/>
            <w:tcBorders>
              <w:top w:val="nil"/>
              <w:left w:val="nil"/>
              <w:bottom w:val="nil"/>
              <w:right w:val="nil"/>
            </w:tcBorders>
            <w:shd w:val="clear" w:color="auto" w:fill="FFFFFF" w:themeFill="background1"/>
            <w:noWrap/>
            <w:vAlign w:val="center"/>
            <w:hideMark/>
          </w:tcPr>
          <w:p w14:paraId="1F14C8F3" w14:textId="5116052A"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634F6">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7B6DE572" w14:textId="096AD27E"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2083815" w14:textId="1980441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ED211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505C463C" w14:textId="68C0D449"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ED211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7EFF4602" w14:textId="489CDB9F"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222DAF3E" w14:textId="44A23A34"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DA8A262" w14:textId="1E9FB5C2"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596A60AB" w14:textId="3E6D5AD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610B5C82" w14:textId="0442BBB5"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27C47">
              <w:rPr>
                <w:rFonts w:ascii="Aptos Narrow" w:eastAsia="Times New Roman" w:hAnsi="Aptos Narrow" w:cs="Times New Roman"/>
                <w:color w:val="000000" w:themeColor="text1"/>
                <w:sz w:val="18"/>
                <w:szCs w:val="18"/>
              </w:rPr>
              <w:t>9.3</w:t>
            </w:r>
          </w:p>
        </w:tc>
      </w:tr>
      <w:tr w:rsidR="004D0A96" w:rsidRPr="008B1DBD" w14:paraId="6A592303"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16E7553B" w14:textId="77777777" w:rsidR="004D0A96" w:rsidRPr="008B1DBD" w:rsidRDefault="004D0A96" w:rsidP="002A164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7A</w:t>
            </w:r>
          </w:p>
        </w:tc>
        <w:tc>
          <w:tcPr>
            <w:tcW w:w="1307" w:type="dxa"/>
            <w:tcBorders>
              <w:top w:val="nil"/>
              <w:left w:val="nil"/>
              <w:bottom w:val="nil"/>
              <w:right w:val="nil"/>
            </w:tcBorders>
            <w:shd w:val="clear" w:color="auto" w:fill="FFFFFF" w:themeFill="background1"/>
            <w:noWrap/>
            <w:vAlign w:val="center"/>
            <w:hideMark/>
          </w:tcPr>
          <w:p w14:paraId="43BD884F" w14:textId="77777777"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A164B">
              <w:rPr>
                <w:rFonts w:ascii="Aptos Narrow" w:eastAsia="Times New Roman" w:hAnsi="Aptos Narrow" w:cs="Times New Roman"/>
                <w:color w:val="000000" w:themeColor="text1"/>
                <w:sz w:val="18"/>
                <w:szCs w:val="18"/>
              </w:rPr>
              <w:t>2027</w:t>
            </w:r>
          </w:p>
        </w:tc>
        <w:tc>
          <w:tcPr>
            <w:tcW w:w="720" w:type="dxa"/>
            <w:tcBorders>
              <w:top w:val="nil"/>
              <w:left w:val="nil"/>
              <w:bottom w:val="nil"/>
              <w:right w:val="nil"/>
            </w:tcBorders>
            <w:shd w:val="clear" w:color="auto" w:fill="FFFFFF" w:themeFill="background1"/>
            <w:noWrap/>
            <w:vAlign w:val="center"/>
            <w:hideMark/>
          </w:tcPr>
          <w:p w14:paraId="59230A4D" w14:textId="7C29F72D"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634F6">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304F1061" w14:textId="70FC7B58" w:rsidR="004D0A96" w:rsidRPr="002A164B" w:rsidRDefault="004D0A96" w:rsidP="004D0A96">
            <w:pPr>
              <w:keepNext/>
              <w:keepLines/>
              <w:spacing w:after="0" w:line="240" w:lineRule="auto"/>
              <w:jc w:val="center"/>
              <w:rPr>
                <w:rFonts w:ascii="Aptos Narrow" w:eastAsia="Times New Roman" w:hAnsi="Aptos Narrow" w:cs="Times New Roman"/>
                <w:i/>
                <w:color w:val="808080"/>
                <w:sz w:val="18"/>
                <w:szCs w:val="18"/>
              </w:rPr>
            </w:pPr>
            <w:r>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64341BFF" w14:textId="4B5DBF7A"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ED211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3E22FFC5" w14:textId="1FC5784D"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ED211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5FBB0540" w14:textId="75A4E9AD"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24C55C8A" w14:textId="52A58B88"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27BF060" w14:textId="33E6B9A6" w:rsidR="004D0A96" w:rsidRPr="002A164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27C16F57" w14:textId="356CD598"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565687">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2D915A0" w14:textId="5CE3CDE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27C47">
              <w:rPr>
                <w:rFonts w:ascii="Aptos Narrow" w:eastAsia="Times New Roman" w:hAnsi="Aptos Narrow" w:cs="Times New Roman"/>
                <w:color w:val="000000" w:themeColor="text1"/>
                <w:sz w:val="18"/>
                <w:szCs w:val="18"/>
              </w:rPr>
              <w:t>9.3</w:t>
            </w:r>
          </w:p>
        </w:tc>
      </w:tr>
      <w:tr w:rsidR="004D0A96" w:rsidRPr="008B1DBD" w14:paraId="26EB2361"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78A12425" w14:textId="77777777" w:rsidR="004D0A96" w:rsidRPr="008B1DBD" w:rsidRDefault="004D0A96" w:rsidP="002B137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8A</w:t>
            </w:r>
          </w:p>
        </w:tc>
        <w:tc>
          <w:tcPr>
            <w:tcW w:w="1307" w:type="dxa"/>
            <w:tcBorders>
              <w:top w:val="nil"/>
              <w:left w:val="nil"/>
              <w:bottom w:val="nil"/>
              <w:right w:val="nil"/>
            </w:tcBorders>
            <w:shd w:val="clear" w:color="auto" w:fill="FFFFFF" w:themeFill="background1"/>
            <w:noWrap/>
            <w:vAlign w:val="center"/>
            <w:hideMark/>
          </w:tcPr>
          <w:p w14:paraId="58F49B85"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2030</w:t>
            </w:r>
          </w:p>
        </w:tc>
        <w:tc>
          <w:tcPr>
            <w:tcW w:w="720" w:type="dxa"/>
            <w:tcBorders>
              <w:top w:val="nil"/>
              <w:left w:val="nil"/>
              <w:bottom w:val="nil"/>
              <w:right w:val="nil"/>
            </w:tcBorders>
            <w:shd w:val="clear" w:color="auto" w:fill="FFFFFF" w:themeFill="background1"/>
            <w:noWrap/>
            <w:vAlign w:val="center"/>
            <w:hideMark/>
          </w:tcPr>
          <w:p w14:paraId="3AFF35BA" w14:textId="627476A3"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634F6">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6BBCF670" w14:textId="28F832EB"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E514F">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4B4706AC" w14:textId="54C623D5"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E514F">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7ED7C22E" w14:textId="70E7A9FE"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E514F">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36416CC7" w14:textId="02717016"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8E514F">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06F6D0C2" w14:textId="7E891824"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091F7E">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5B35A60" w14:textId="059FB9CE"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091F7E">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0C9EDBB0" w14:textId="7C9A305F"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091F7E">
              <w:rPr>
                <w:rFonts w:ascii="Aptos Narrow" w:eastAsia="Times New Roman" w:hAnsi="Aptos Narrow" w:cs="Times New Roman"/>
                <w:color w:val="000000" w:themeColor="text1"/>
                <w:sz w:val="18"/>
                <w:szCs w:val="18"/>
              </w:rPr>
              <w:t>9.3</w:t>
            </w:r>
          </w:p>
        </w:tc>
        <w:tc>
          <w:tcPr>
            <w:tcW w:w="720" w:type="dxa"/>
            <w:tcBorders>
              <w:top w:val="nil"/>
              <w:left w:val="nil"/>
              <w:bottom w:val="nil"/>
              <w:right w:val="nil"/>
            </w:tcBorders>
            <w:shd w:val="clear" w:color="auto" w:fill="FFFFFF" w:themeFill="background1"/>
            <w:noWrap/>
            <w:vAlign w:val="center"/>
            <w:hideMark/>
          </w:tcPr>
          <w:p w14:paraId="455E9500" w14:textId="28D655EA"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F27C47">
              <w:rPr>
                <w:rFonts w:ascii="Aptos Narrow" w:eastAsia="Times New Roman" w:hAnsi="Aptos Narrow" w:cs="Times New Roman"/>
                <w:color w:val="000000" w:themeColor="text1"/>
                <w:sz w:val="18"/>
                <w:szCs w:val="18"/>
              </w:rPr>
              <w:t>9.3</w:t>
            </w:r>
          </w:p>
        </w:tc>
      </w:tr>
      <w:tr w:rsidR="004D0A96" w:rsidRPr="008B1DBD" w14:paraId="2076BA30" w14:textId="77777777" w:rsidTr="002A164B">
        <w:trPr>
          <w:trHeight w:val="300"/>
          <w:jc w:val="center"/>
        </w:trPr>
        <w:tc>
          <w:tcPr>
            <w:tcW w:w="1556"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25B8F630" w14:textId="3AC69440" w:rsidR="004D0A96" w:rsidRPr="008B1DBD" w:rsidRDefault="004D0A96" w:rsidP="002B137B">
            <w:pPr>
              <w:keepNext/>
              <w:keepLines/>
              <w:spacing w:after="0" w:line="240" w:lineRule="auto"/>
              <w:jc w:val="center"/>
              <w:rPr>
                <w:rFonts w:ascii="Aptos Narrow" w:eastAsia="Times New Roman" w:hAnsi="Aptos Narrow" w:cs="Times New Roman"/>
                <w:b/>
                <w:bCs/>
                <w:color w:val="000000"/>
              </w:rPr>
            </w:pPr>
            <w:r w:rsidRPr="008B1DBD">
              <w:rPr>
                <w:rFonts w:ascii="Aptos Narrow" w:eastAsia="Times New Roman" w:hAnsi="Aptos Narrow" w:cs="Times New Roman"/>
                <w:b/>
                <w:bCs/>
                <w:color w:val="000000"/>
              </w:rPr>
              <w:t>Total CT</w:t>
            </w:r>
          </w:p>
        </w:tc>
        <w:tc>
          <w:tcPr>
            <w:tcW w:w="1307"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43C960E2" w14:textId="6F32340A" w:rsidR="004D0A96" w:rsidRPr="002B137B" w:rsidRDefault="004D0A96" w:rsidP="002B137B">
            <w:pPr>
              <w:keepNext/>
              <w:keepLines/>
              <w:spacing w:after="0" w:line="240" w:lineRule="auto"/>
              <w:jc w:val="center"/>
              <w:rPr>
                <w:rFonts w:ascii="Aptos Narrow" w:eastAsia="Times New Roman" w:hAnsi="Aptos Narrow" w:cs="Times New Roman"/>
                <w:b/>
                <w:color w:val="000000"/>
                <w:sz w:val="18"/>
                <w:szCs w:val="18"/>
              </w:rPr>
            </w:pP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1F96A8F4" w14:textId="4035DCD3"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4D0A96">
              <w:rPr>
                <w:rFonts w:ascii="Aptos Narrow" w:eastAsia="Times New Roman" w:hAnsi="Aptos Narrow" w:cs="Times New Roman"/>
                <w:b/>
                <w:color w:val="000000" w:themeColor="text1"/>
                <w:sz w:val="18"/>
                <w:szCs w:val="18"/>
              </w:rPr>
              <w:t>-</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71DC4CDD" w14:textId="12A03DA2"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9</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2B7DAB47" w14:textId="569E7316"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19</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0F209957" w14:textId="3CF43EA0"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28</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70A74A36" w14:textId="55275224"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37</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5CD6EEE1" w14:textId="0BFCF35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47</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3C9711EB" w14:textId="616137D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56</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0A973898" w14:textId="0EEAA35F"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65</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6662D8FD" w14:textId="433D03A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74</w:t>
            </w:r>
          </w:p>
        </w:tc>
      </w:tr>
      <w:tr w:rsidR="004D0A96" w:rsidRPr="008B1DBD" w14:paraId="5A9F7778" w14:textId="77777777" w:rsidTr="002A164B">
        <w:trPr>
          <w:trHeight w:val="288"/>
          <w:jc w:val="center"/>
        </w:trPr>
        <w:tc>
          <w:tcPr>
            <w:tcW w:w="1556" w:type="dxa"/>
            <w:tcBorders>
              <w:top w:val="nil"/>
              <w:left w:val="nil"/>
              <w:bottom w:val="double" w:sz="4" w:space="0" w:color="auto"/>
              <w:right w:val="nil"/>
            </w:tcBorders>
            <w:shd w:val="clear" w:color="auto" w:fill="FFFFFF" w:themeFill="background1"/>
            <w:noWrap/>
            <w:vAlign w:val="center"/>
            <w:hideMark/>
          </w:tcPr>
          <w:p w14:paraId="05D17AE3" w14:textId="740346D6" w:rsidR="004D0A96" w:rsidRPr="008B1DBD" w:rsidRDefault="004D0A96" w:rsidP="002B137B">
            <w:pPr>
              <w:keepNext/>
              <w:keepLines/>
              <w:spacing w:after="0" w:line="240" w:lineRule="auto"/>
              <w:jc w:val="center"/>
              <w:rPr>
                <w:rFonts w:ascii="Aptos Narrow" w:eastAsia="Times New Roman" w:hAnsi="Aptos Narrow" w:cs="Times New Roman"/>
                <w:color w:val="000000"/>
              </w:rPr>
            </w:pPr>
          </w:p>
        </w:tc>
        <w:tc>
          <w:tcPr>
            <w:tcW w:w="1307" w:type="dxa"/>
            <w:tcBorders>
              <w:top w:val="nil"/>
              <w:left w:val="nil"/>
              <w:bottom w:val="double" w:sz="4" w:space="0" w:color="auto"/>
              <w:right w:val="nil"/>
            </w:tcBorders>
            <w:shd w:val="clear" w:color="auto" w:fill="FFFFFF" w:themeFill="background1"/>
            <w:noWrap/>
            <w:vAlign w:val="center"/>
            <w:hideMark/>
          </w:tcPr>
          <w:p w14:paraId="506419D3" w14:textId="3CC16C77"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2B3F98CF" w14:textId="636ADA49"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41D5F8EB" w14:textId="1545002F"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48BB204B" w14:textId="1324C080"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4DD2BDAE" w14:textId="03F9B589"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28C38D49" w14:textId="1DB603BE"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710FF186" w14:textId="6ABA41A0"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0BB190E0" w14:textId="06747A69"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360FAA22" w14:textId="3D88B51C"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c>
          <w:tcPr>
            <w:tcW w:w="720" w:type="dxa"/>
            <w:tcBorders>
              <w:top w:val="nil"/>
              <w:left w:val="nil"/>
              <w:bottom w:val="double" w:sz="4" w:space="0" w:color="auto"/>
              <w:right w:val="nil"/>
            </w:tcBorders>
            <w:shd w:val="clear" w:color="auto" w:fill="FFFFFF" w:themeFill="background1"/>
            <w:noWrap/>
            <w:vAlign w:val="center"/>
            <w:hideMark/>
          </w:tcPr>
          <w:p w14:paraId="11FE9C24" w14:textId="4098B808" w:rsidR="004D0A96" w:rsidRPr="002B137B" w:rsidRDefault="004D0A96" w:rsidP="002B137B">
            <w:pPr>
              <w:keepNext/>
              <w:keepLines/>
              <w:spacing w:after="0" w:line="240" w:lineRule="auto"/>
              <w:jc w:val="center"/>
              <w:rPr>
                <w:rFonts w:ascii="Aptos Narrow" w:eastAsia="Times New Roman" w:hAnsi="Aptos Narrow" w:cs="Times New Roman"/>
                <w:color w:val="000000"/>
                <w:sz w:val="18"/>
                <w:szCs w:val="18"/>
              </w:rPr>
            </w:pPr>
          </w:p>
        </w:tc>
      </w:tr>
      <w:tr w:rsidR="004D0A96" w:rsidRPr="008B1DBD" w14:paraId="6DBF97B8" w14:textId="77777777" w:rsidTr="002A164B">
        <w:trPr>
          <w:trHeight w:val="576"/>
          <w:jc w:val="center"/>
        </w:trPr>
        <w:tc>
          <w:tcPr>
            <w:tcW w:w="1556" w:type="dxa"/>
            <w:tcBorders>
              <w:top w:val="double" w:sz="4" w:space="0" w:color="auto"/>
              <w:left w:val="nil"/>
              <w:bottom w:val="single" w:sz="4" w:space="0" w:color="auto"/>
              <w:right w:val="nil"/>
            </w:tcBorders>
            <w:shd w:val="clear" w:color="auto" w:fill="FFFFFF" w:themeFill="background1"/>
            <w:vAlign w:val="center"/>
            <w:hideMark/>
          </w:tcPr>
          <w:p w14:paraId="4BCA25BA" w14:textId="12DB908A" w:rsidR="004D0A96" w:rsidRPr="008B1DBD" w:rsidRDefault="004D0A96" w:rsidP="004D0A96">
            <w:pPr>
              <w:keepNext/>
              <w:keepLines/>
              <w:spacing w:after="0" w:line="240" w:lineRule="auto"/>
              <w:jc w:val="center"/>
              <w:rPr>
                <w:rFonts w:ascii="Aptos Narrow" w:eastAsia="Times New Roman" w:hAnsi="Aptos Narrow" w:cs="Times New Roman"/>
                <w:i/>
                <w:iCs/>
                <w:color w:val="000000"/>
              </w:rPr>
            </w:pPr>
            <w:r w:rsidRPr="008B1DBD">
              <w:rPr>
                <w:rFonts w:ascii="Aptos Narrow" w:eastAsia="Times New Roman" w:hAnsi="Aptos Narrow" w:cs="Times New Roman"/>
                <w:i/>
                <w:iCs/>
                <w:color w:val="000000"/>
              </w:rPr>
              <w:t>Incremental Capacity (MW)</w:t>
            </w:r>
          </w:p>
        </w:tc>
        <w:tc>
          <w:tcPr>
            <w:tcW w:w="1307" w:type="dxa"/>
            <w:tcBorders>
              <w:top w:val="double" w:sz="4" w:space="0" w:color="auto"/>
              <w:left w:val="nil"/>
              <w:bottom w:val="single" w:sz="4" w:space="0" w:color="auto"/>
              <w:right w:val="nil"/>
            </w:tcBorders>
            <w:shd w:val="clear" w:color="auto" w:fill="FFFFFF" w:themeFill="background1"/>
            <w:vAlign w:val="center"/>
            <w:hideMark/>
          </w:tcPr>
          <w:p w14:paraId="2516282A" w14:textId="77777777" w:rsidR="004D0A96" w:rsidRPr="002B137B" w:rsidRDefault="004D0A96" w:rsidP="004D0A96">
            <w:pPr>
              <w:keepNext/>
              <w:keepLines/>
              <w:spacing w:after="0" w:line="240" w:lineRule="auto"/>
              <w:jc w:val="center"/>
              <w:rPr>
                <w:rFonts w:ascii="Aptos Narrow" w:eastAsia="Times New Roman" w:hAnsi="Aptos Narrow" w:cs="Times New Roman"/>
                <w:i/>
                <w:color w:val="000000"/>
                <w:sz w:val="18"/>
                <w:szCs w:val="18"/>
              </w:rPr>
            </w:pPr>
            <w:r w:rsidRPr="002B137B">
              <w:rPr>
                <w:rFonts w:ascii="Aptos Narrow" w:eastAsia="Times New Roman" w:hAnsi="Aptos Narrow" w:cs="Times New Roman"/>
                <w:i/>
                <w:color w:val="000000" w:themeColor="text1"/>
                <w:sz w:val="18"/>
                <w:szCs w:val="18"/>
              </w:rPr>
              <w:t>Outage Year</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5E0F93B2"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2026</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16A1F599"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2027</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5E57B191"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2028</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6543F059"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2029</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7A687D04"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2030</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1590F7DE"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2031</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7581CB66"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2032</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0F64FA66"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2033</w:t>
            </w:r>
          </w:p>
        </w:tc>
        <w:tc>
          <w:tcPr>
            <w:tcW w:w="720" w:type="dxa"/>
            <w:tcBorders>
              <w:top w:val="double" w:sz="4" w:space="0" w:color="auto"/>
              <w:left w:val="nil"/>
              <w:bottom w:val="single" w:sz="4" w:space="0" w:color="auto"/>
              <w:right w:val="nil"/>
            </w:tcBorders>
            <w:shd w:val="clear" w:color="auto" w:fill="FFFFFF" w:themeFill="background1"/>
            <w:vAlign w:val="center"/>
            <w:hideMark/>
          </w:tcPr>
          <w:p w14:paraId="2FE6D5BA" w14:textId="43BD23A8"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2034</w:t>
            </w:r>
            <w:r>
              <w:rPr>
                <w:rFonts w:ascii="Aptos Narrow" w:eastAsia="Times New Roman" w:hAnsi="Aptos Narrow" w:cs="Times New Roman"/>
                <w:color w:val="000000" w:themeColor="text1"/>
                <w:sz w:val="18"/>
                <w:szCs w:val="18"/>
              </w:rPr>
              <w:t>+</w:t>
            </w:r>
          </w:p>
        </w:tc>
      </w:tr>
      <w:tr w:rsidR="004D0A96" w:rsidRPr="008B1DBD" w14:paraId="4B3AED28"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6A2C6727" w14:textId="77777777" w:rsidR="004D0A96" w:rsidRPr="008B1DBD" w:rsidRDefault="004D0A96" w:rsidP="002B137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10</w:t>
            </w:r>
          </w:p>
        </w:tc>
        <w:tc>
          <w:tcPr>
            <w:tcW w:w="1307" w:type="dxa"/>
            <w:tcBorders>
              <w:top w:val="nil"/>
              <w:left w:val="nil"/>
              <w:bottom w:val="nil"/>
              <w:right w:val="nil"/>
            </w:tcBorders>
            <w:shd w:val="clear" w:color="auto" w:fill="FFFFFF" w:themeFill="background1"/>
            <w:noWrap/>
            <w:vAlign w:val="center"/>
            <w:hideMark/>
          </w:tcPr>
          <w:p w14:paraId="447E2001"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2028</w:t>
            </w:r>
          </w:p>
        </w:tc>
        <w:tc>
          <w:tcPr>
            <w:tcW w:w="720" w:type="dxa"/>
            <w:tcBorders>
              <w:top w:val="nil"/>
              <w:left w:val="nil"/>
              <w:bottom w:val="nil"/>
              <w:right w:val="nil"/>
            </w:tcBorders>
            <w:shd w:val="clear" w:color="auto" w:fill="FFFFFF" w:themeFill="background1"/>
            <w:noWrap/>
            <w:vAlign w:val="center"/>
            <w:hideMark/>
          </w:tcPr>
          <w:p w14:paraId="359EA23A" w14:textId="3C4898E1"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55268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1C25913" w14:textId="481DD005"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55268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37DFE4C0" w14:textId="3AC23951"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55268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23577218"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6CC0BC1D"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38FD839F"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70AF3191"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0C0D7A78"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7C200B8E"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r>
      <w:tr w:rsidR="004D0A96" w:rsidRPr="008B1DBD" w14:paraId="2F5D9127" w14:textId="77777777" w:rsidTr="002A164B">
        <w:trPr>
          <w:trHeight w:val="288"/>
          <w:jc w:val="center"/>
        </w:trPr>
        <w:tc>
          <w:tcPr>
            <w:tcW w:w="1556" w:type="dxa"/>
            <w:tcBorders>
              <w:top w:val="nil"/>
              <w:left w:val="nil"/>
              <w:bottom w:val="nil"/>
              <w:right w:val="nil"/>
            </w:tcBorders>
            <w:shd w:val="clear" w:color="auto" w:fill="FFFFFF" w:themeFill="background1"/>
            <w:noWrap/>
            <w:vAlign w:val="center"/>
            <w:hideMark/>
          </w:tcPr>
          <w:p w14:paraId="2EA8E7B5" w14:textId="77777777" w:rsidR="004D0A96" w:rsidRPr="008B1DBD" w:rsidRDefault="004D0A96" w:rsidP="002B137B">
            <w:pPr>
              <w:keepNext/>
              <w:keepLines/>
              <w:spacing w:after="0" w:line="240" w:lineRule="auto"/>
              <w:jc w:val="center"/>
              <w:rPr>
                <w:rFonts w:ascii="Aptos Narrow" w:eastAsia="Times New Roman" w:hAnsi="Aptos Narrow" w:cs="Times New Roman"/>
                <w:color w:val="000000"/>
              </w:rPr>
            </w:pPr>
            <w:r w:rsidRPr="008B1DBD">
              <w:rPr>
                <w:rFonts w:ascii="Aptos Narrow" w:eastAsia="Times New Roman" w:hAnsi="Aptos Narrow" w:cs="Times New Roman"/>
                <w:color w:val="000000"/>
              </w:rPr>
              <w:t>MCINTOSH 11</w:t>
            </w:r>
          </w:p>
        </w:tc>
        <w:tc>
          <w:tcPr>
            <w:tcW w:w="1307" w:type="dxa"/>
            <w:tcBorders>
              <w:top w:val="nil"/>
              <w:left w:val="nil"/>
              <w:bottom w:val="nil"/>
              <w:right w:val="nil"/>
            </w:tcBorders>
            <w:shd w:val="clear" w:color="auto" w:fill="FFFFFF" w:themeFill="background1"/>
            <w:noWrap/>
            <w:vAlign w:val="center"/>
            <w:hideMark/>
          </w:tcPr>
          <w:p w14:paraId="20CDCBDE"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2028</w:t>
            </w:r>
          </w:p>
        </w:tc>
        <w:tc>
          <w:tcPr>
            <w:tcW w:w="720" w:type="dxa"/>
            <w:tcBorders>
              <w:top w:val="nil"/>
              <w:left w:val="nil"/>
              <w:bottom w:val="nil"/>
              <w:right w:val="nil"/>
            </w:tcBorders>
            <w:shd w:val="clear" w:color="auto" w:fill="FFFFFF" w:themeFill="background1"/>
            <w:noWrap/>
            <w:vAlign w:val="center"/>
            <w:hideMark/>
          </w:tcPr>
          <w:p w14:paraId="1212D792" w14:textId="494F809A"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55268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77E4C04C" w14:textId="20F726E5"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55268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1DB20FA9" w14:textId="791EA282" w:rsidR="004D0A96" w:rsidRPr="002B137B" w:rsidRDefault="004D0A96" w:rsidP="004D0A96">
            <w:pPr>
              <w:keepNext/>
              <w:keepLines/>
              <w:spacing w:after="0" w:line="240" w:lineRule="auto"/>
              <w:jc w:val="center"/>
              <w:rPr>
                <w:rFonts w:ascii="Aptos Narrow" w:eastAsia="Times New Roman" w:hAnsi="Aptos Narrow" w:cs="Times New Roman"/>
                <w:i/>
                <w:color w:val="808080"/>
                <w:sz w:val="18"/>
                <w:szCs w:val="18"/>
              </w:rPr>
            </w:pPr>
            <w:r w:rsidRPr="0055268C">
              <w:rPr>
                <w:rFonts w:ascii="Aptos Narrow" w:eastAsia="Times New Roman" w:hAnsi="Aptos Narrow" w:cs="Times New Roman"/>
                <w:i/>
                <w:color w:val="808080" w:themeColor="background1" w:themeShade="80"/>
                <w:sz w:val="18"/>
                <w:szCs w:val="18"/>
              </w:rPr>
              <w:t>-</w:t>
            </w:r>
          </w:p>
        </w:tc>
        <w:tc>
          <w:tcPr>
            <w:tcW w:w="720" w:type="dxa"/>
            <w:tcBorders>
              <w:top w:val="nil"/>
              <w:left w:val="nil"/>
              <w:bottom w:val="nil"/>
              <w:right w:val="nil"/>
            </w:tcBorders>
            <w:shd w:val="clear" w:color="auto" w:fill="FFFFFF" w:themeFill="background1"/>
            <w:noWrap/>
            <w:vAlign w:val="center"/>
            <w:hideMark/>
          </w:tcPr>
          <w:p w14:paraId="530F772C"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135BB658"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406EFBE6"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7CC28DA7"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4EC13D79"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c>
          <w:tcPr>
            <w:tcW w:w="720" w:type="dxa"/>
            <w:tcBorders>
              <w:top w:val="nil"/>
              <w:left w:val="nil"/>
              <w:bottom w:val="nil"/>
              <w:right w:val="nil"/>
            </w:tcBorders>
            <w:shd w:val="clear" w:color="auto" w:fill="FFFFFF" w:themeFill="background1"/>
            <w:noWrap/>
            <w:vAlign w:val="center"/>
            <w:hideMark/>
          </w:tcPr>
          <w:p w14:paraId="666023E5" w14:textId="77777777" w:rsidR="004D0A96" w:rsidRPr="002B137B" w:rsidRDefault="004D0A96" w:rsidP="004D0A96">
            <w:pPr>
              <w:keepNext/>
              <w:keepLines/>
              <w:spacing w:after="0" w:line="240" w:lineRule="auto"/>
              <w:jc w:val="center"/>
              <w:rPr>
                <w:rFonts w:ascii="Aptos Narrow" w:eastAsia="Times New Roman" w:hAnsi="Aptos Narrow" w:cs="Times New Roman"/>
                <w:color w:val="000000"/>
                <w:sz w:val="18"/>
                <w:szCs w:val="18"/>
              </w:rPr>
            </w:pPr>
            <w:r w:rsidRPr="002B137B">
              <w:rPr>
                <w:rFonts w:ascii="Aptos Narrow" w:eastAsia="Times New Roman" w:hAnsi="Aptos Narrow" w:cs="Times New Roman"/>
                <w:color w:val="000000" w:themeColor="text1"/>
                <w:sz w:val="18"/>
                <w:szCs w:val="18"/>
              </w:rPr>
              <w:t>97.1</w:t>
            </w:r>
          </w:p>
        </w:tc>
      </w:tr>
      <w:tr w:rsidR="004D0A96" w:rsidRPr="008B1DBD" w14:paraId="124CE931" w14:textId="77777777" w:rsidTr="002A164B">
        <w:trPr>
          <w:trHeight w:val="300"/>
          <w:jc w:val="center"/>
        </w:trPr>
        <w:tc>
          <w:tcPr>
            <w:tcW w:w="1556"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339654D1" w14:textId="7A35A2AF" w:rsidR="004D0A96" w:rsidRPr="008B1DBD" w:rsidRDefault="004D0A96" w:rsidP="003F1594">
            <w:pPr>
              <w:keepNext/>
              <w:keepLines/>
              <w:spacing w:after="0" w:line="240" w:lineRule="auto"/>
              <w:jc w:val="center"/>
              <w:rPr>
                <w:rFonts w:ascii="Aptos Narrow" w:eastAsia="Times New Roman" w:hAnsi="Aptos Narrow" w:cs="Times New Roman"/>
                <w:b/>
                <w:bCs/>
                <w:color w:val="000000"/>
              </w:rPr>
            </w:pPr>
            <w:r w:rsidRPr="008B1DBD">
              <w:rPr>
                <w:rFonts w:ascii="Aptos Narrow" w:eastAsia="Times New Roman" w:hAnsi="Aptos Narrow" w:cs="Times New Roman"/>
                <w:b/>
                <w:bCs/>
                <w:color w:val="000000"/>
              </w:rPr>
              <w:t xml:space="preserve">Total </w:t>
            </w:r>
            <w:r w:rsidR="003F1594">
              <w:rPr>
                <w:rFonts w:ascii="Aptos Narrow" w:eastAsia="Times New Roman" w:hAnsi="Aptos Narrow" w:cs="Times New Roman"/>
                <w:b/>
                <w:bCs/>
                <w:color w:val="000000"/>
              </w:rPr>
              <w:t>NG</w:t>
            </w:r>
            <w:r w:rsidRPr="008B1DBD">
              <w:rPr>
                <w:rFonts w:ascii="Aptos Narrow" w:eastAsia="Times New Roman" w:hAnsi="Aptos Narrow" w:cs="Times New Roman"/>
                <w:b/>
                <w:bCs/>
                <w:color w:val="000000"/>
              </w:rPr>
              <w:t>C</w:t>
            </w:r>
            <w:r>
              <w:rPr>
                <w:rFonts w:ascii="Aptos Narrow" w:eastAsia="Times New Roman" w:hAnsi="Aptos Narrow" w:cs="Times New Roman"/>
                <w:b/>
                <w:bCs/>
                <w:color w:val="000000"/>
              </w:rPr>
              <w:t>C</w:t>
            </w:r>
          </w:p>
        </w:tc>
        <w:tc>
          <w:tcPr>
            <w:tcW w:w="1307"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2940B2FD" w14:textId="3DD8E1F9" w:rsidR="004D0A96" w:rsidRPr="002B137B" w:rsidRDefault="004D0A96" w:rsidP="002B137B">
            <w:pPr>
              <w:keepNext/>
              <w:keepLines/>
              <w:spacing w:after="0" w:line="240" w:lineRule="auto"/>
              <w:jc w:val="center"/>
              <w:rPr>
                <w:rFonts w:ascii="Aptos Narrow" w:eastAsia="Times New Roman" w:hAnsi="Aptos Narrow" w:cs="Times New Roman"/>
                <w:b/>
                <w:color w:val="000000"/>
                <w:sz w:val="18"/>
                <w:szCs w:val="18"/>
              </w:rPr>
            </w:pP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321F5E51" w14:textId="2D868CA5"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804638">
              <w:t>-</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78720B0F" w14:textId="1DCE6C09"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804638">
              <w:t>-</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4A1F4326" w14:textId="131363CC"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804638">
              <w:t>-</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2C5FD6A8" w14:textId="7777777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194</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73BABA4D" w14:textId="7777777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194</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5D8A22EB" w14:textId="7777777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194</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176A7075" w14:textId="7777777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194</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6968FF3C" w14:textId="7777777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194</w:t>
            </w:r>
          </w:p>
        </w:tc>
        <w:tc>
          <w:tcPr>
            <w:tcW w:w="720" w:type="dxa"/>
            <w:tcBorders>
              <w:top w:val="single" w:sz="4" w:space="0" w:color="156082" w:themeColor="accent1"/>
              <w:left w:val="nil"/>
              <w:bottom w:val="double" w:sz="6" w:space="0" w:color="156082" w:themeColor="accent1"/>
              <w:right w:val="nil"/>
            </w:tcBorders>
            <w:shd w:val="clear" w:color="auto" w:fill="FFFFFF" w:themeFill="background1"/>
            <w:noWrap/>
            <w:vAlign w:val="center"/>
            <w:hideMark/>
          </w:tcPr>
          <w:p w14:paraId="7C148C9E" w14:textId="77777777" w:rsidR="004D0A96" w:rsidRPr="002B137B" w:rsidRDefault="004D0A96" w:rsidP="004D0A96">
            <w:pPr>
              <w:keepNext/>
              <w:keepLines/>
              <w:spacing w:after="0" w:line="240" w:lineRule="auto"/>
              <w:jc w:val="center"/>
              <w:rPr>
                <w:rFonts w:ascii="Aptos Narrow" w:eastAsia="Times New Roman" w:hAnsi="Aptos Narrow" w:cs="Times New Roman"/>
                <w:b/>
                <w:color w:val="000000"/>
                <w:sz w:val="18"/>
                <w:szCs w:val="18"/>
              </w:rPr>
            </w:pPr>
            <w:r w:rsidRPr="002B137B">
              <w:rPr>
                <w:rFonts w:ascii="Aptos Narrow" w:eastAsia="Times New Roman" w:hAnsi="Aptos Narrow" w:cs="Times New Roman"/>
                <w:b/>
                <w:color w:val="000000" w:themeColor="text1"/>
                <w:sz w:val="18"/>
                <w:szCs w:val="18"/>
              </w:rPr>
              <w:t>194</w:t>
            </w:r>
          </w:p>
        </w:tc>
      </w:tr>
    </w:tbl>
    <w:p w14:paraId="5A07BDCD" w14:textId="3D18C5F3" w:rsidR="25FC1D2D" w:rsidRDefault="25FC1D2D" w:rsidP="25FC1D2D"/>
    <w:p w14:paraId="600EF9F5" w14:textId="3C4C5125" w:rsidR="006A37F9" w:rsidRDefault="006A37F9" w:rsidP="00813AF1">
      <w:pPr>
        <w:pStyle w:val="Heading2"/>
      </w:pPr>
      <w:r>
        <w:t xml:space="preserve">Deferred Generation </w:t>
      </w:r>
      <w:r w:rsidRPr="00813AF1">
        <w:t>Capacity</w:t>
      </w:r>
    </w:p>
    <w:p w14:paraId="39981BA6" w14:textId="593D8924" w:rsidR="006A37F9" w:rsidRDefault="006A37F9" w:rsidP="00625F6B">
      <w:r>
        <w:t xml:space="preserve">Deferred Generation Capacity Benefit, also referred to as </w:t>
      </w:r>
      <w:r w:rsidR="00575DCF">
        <w:t>c</w:t>
      </w:r>
      <w:r>
        <w:t xml:space="preserve">apacity </w:t>
      </w:r>
      <w:r w:rsidR="00575DCF">
        <w:t>v</w:t>
      </w:r>
      <w:r>
        <w:t>alue, represent</w:t>
      </w:r>
      <w:r w:rsidR="004F654A">
        <w:t>s</w:t>
      </w:r>
      <w:r>
        <w:t xml:space="preserve"> the amount of generation capacity that can be deferred or avoided by the incremental addition of capacity. The amount of generation capacity deferred or avoided is </w:t>
      </w:r>
      <w:r w:rsidR="008D6302" w:rsidRPr="008D6302">
        <w:t xml:space="preserve">based on a summer target reserve margin of 20% and a winter target reserve margin of 26%. As described in the 2025 IRP </w:t>
      </w:r>
      <w:r w:rsidR="00B97029">
        <w:t>M</w:t>
      </w:r>
      <w:r w:rsidR="00B97029" w:rsidRPr="008D6302">
        <w:t xml:space="preserve">ain </w:t>
      </w:r>
      <w:r w:rsidR="00B97029">
        <w:t>D</w:t>
      </w:r>
      <w:r w:rsidR="008D6302" w:rsidRPr="008D6302">
        <w:t xml:space="preserve">ocument, the Company continues to experience substantial load growth and has </w:t>
      </w:r>
      <w:r w:rsidR="00B97029">
        <w:t xml:space="preserve">increasing </w:t>
      </w:r>
      <w:r w:rsidR="008D6302" w:rsidRPr="008D6302">
        <w:t>capacity needs. Therefore, the analysis assumes all incremental capacity receives full capacity value</w:t>
      </w:r>
      <w:r w:rsidR="009F1B84">
        <w:t xml:space="preserve"> starting at the </w:t>
      </w:r>
      <w:r w:rsidR="006B3CAF">
        <w:t>year of need</w:t>
      </w:r>
      <w:r w:rsidR="00302AF6">
        <w:t xml:space="preserve"> of 2028</w:t>
      </w:r>
      <w:r w:rsidR="008D6302">
        <w:t xml:space="preserve">. </w:t>
      </w:r>
      <w:r w:rsidR="004F654A">
        <w:t>This forecasted capacity value is</w:t>
      </w:r>
      <w:r w:rsidR="00F82216">
        <w:t xml:space="preserve"> valued at </w:t>
      </w:r>
      <w:r w:rsidR="004F654A">
        <w:t xml:space="preserve">the </w:t>
      </w:r>
      <w:r w:rsidR="00EA6EE1">
        <w:t>e</w:t>
      </w:r>
      <w:r w:rsidR="004F654A">
        <w:t xml:space="preserve">conomic </w:t>
      </w:r>
      <w:r w:rsidR="00EA6EE1">
        <w:t>c</w:t>
      </w:r>
      <w:r w:rsidR="004F654A">
        <w:t xml:space="preserve">arrying </w:t>
      </w:r>
      <w:r w:rsidR="00EA6EE1">
        <w:t>c</w:t>
      </w:r>
      <w:r w:rsidR="00F82216">
        <w:t xml:space="preserve">osts </w:t>
      </w:r>
      <w:r w:rsidR="004F654A">
        <w:t xml:space="preserve">of a </w:t>
      </w:r>
      <w:r w:rsidR="00F82216">
        <w:t xml:space="preserve">generic </w:t>
      </w:r>
      <w:r w:rsidR="004F654A">
        <w:t xml:space="preserve">combustion turbine (“ECC of a CT”). </w:t>
      </w:r>
    </w:p>
    <w:p w14:paraId="1B697B82" w14:textId="615EE57A" w:rsidR="006A37F9" w:rsidRDefault="00851994" w:rsidP="00625F6B">
      <w:pPr>
        <w:pStyle w:val="Heading2"/>
      </w:pPr>
      <w:r>
        <w:lastRenderedPageBreak/>
        <w:t xml:space="preserve">Energy Benefit or </w:t>
      </w:r>
      <w:r w:rsidR="006A37F9">
        <w:t>Production Cost Savings</w:t>
      </w:r>
    </w:p>
    <w:p w14:paraId="03797D52" w14:textId="041DEBF5" w:rsidR="00BF01C1" w:rsidRPr="005B76AB" w:rsidRDefault="006A37F9" w:rsidP="005B76AB">
      <w:r>
        <w:t xml:space="preserve">Production </w:t>
      </w:r>
      <w:r w:rsidR="00395AEC">
        <w:t>c</w:t>
      </w:r>
      <w:r>
        <w:t xml:space="preserve">ost </w:t>
      </w:r>
      <w:r w:rsidR="00395AEC">
        <w:t>s</w:t>
      </w:r>
      <w:r>
        <w:t xml:space="preserve">avings represent the variable cost savings </w:t>
      </w:r>
      <w:r w:rsidR="00D52116">
        <w:t>(</w:t>
      </w:r>
      <w:r w:rsidR="00851994" w:rsidRPr="00851994">
        <w:t xml:space="preserve">predominantly </w:t>
      </w:r>
      <w:r w:rsidR="00D52116">
        <w:t xml:space="preserve">fuel savings) associated </w:t>
      </w:r>
      <w:r w:rsidR="00851994">
        <w:t>with</w:t>
      </w:r>
      <w:r>
        <w:t xml:space="preserve"> generating energy </w:t>
      </w:r>
      <w:r w:rsidR="00851994">
        <w:t>from the units under evaluation</w:t>
      </w:r>
      <w:r>
        <w:t xml:space="preserve">. </w:t>
      </w:r>
      <w:r w:rsidR="006F3D9E">
        <w:t>The Company quantifies these savings using the Aurora production cost model, and these analyses were performed with Budget 2025 (“B</w:t>
      </w:r>
      <w:r w:rsidR="00E80BD7">
        <w:t>20</w:t>
      </w:r>
      <w:r w:rsidR="006F3D9E">
        <w:t xml:space="preserve">25”) assumptions and scenarios. The Aurora model is used to compare total production cost with and without the </w:t>
      </w:r>
      <w:r w:rsidR="00851994">
        <w:t>upgraded resource</w:t>
      </w:r>
      <w:r w:rsidR="006F3D9E">
        <w:t xml:space="preserve">. </w:t>
      </w:r>
      <w:r w:rsidR="00851994" w:rsidRPr="00851994">
        <w:t>The difference between these two production cost totals is production costs savings or energy benefit of the project</w:t>
      </w:r>
      <w:r w:rsidR="006F3D9E">
        <w:t xml:space="preserve">. </w:t>
      </w:r>
      <w:r>
        <w:t>A material portion of production cost savings results from fuel cost savings associated with higher efficiency resources operating at higher capacities. Other variable costs</w:t>
      </w:r>
      <w:r w:rsidR="00C835F6">
        <w:t>, such as variable O&amp;M</w:t>
      </w:r>
      <w:r w:rsidR="00CF3F49">
        <w:t xml:space="preserve"> and emissions,</w:t>
      </w:r>
      <w:r>
        <w:t xml:space="preserve"> are also included in production cost savings.</w:t>
      </w:r>
    </w:p>
    <w:p w14:paraId="179A2BFE" w14:textId="058CBE9F" w:rsidR="00605D40" w:rsidRDefault="00605D40" w:rsidP="00AE24F9">
      <w:pPr>
        <w:pStyle w:val="Heading2"/>
      </w:pPr>
      <w:r>
        <w:t xml:space="preserve">Scenarios </w:t>
      </w:r>
    </w:p>
    <w:p w14:paraId="55F90216" w14:textId="50E976A7" w:rsidR="00A142BF" w:rsidRDefault="00A142BF" w:rsidP="00A142BF">
      <w:r>
        <w:t>Production cost savings were determined</w:t>
      </w:r>
      <w:r w:rsidR="007C0B94">
        <w:t xml:space="preserve"> for</w:t>
      </w:r>
      <w:r>
        <w:t xml:space="preserve"> </w:t>
      </w:r>
      <w:r w:rsidR="00AE24F9" w:rsidRPr="002B137B">
        <w:t>seven</w:t>
      </w:r>
      <w:r>
        <w:t xml:space="preserve"> planning scenarios, as shown in Table </w:t>
      </w:r>
      <w:r w:rsidRPr="002B137B">
        <w:t>4</w:t>
      </w:r>
      <w:r>
        <w:t xml:space="preserve">. </w:t>
      </w:r>
      <w:r w:rsidR="007C0B94">
        <w:t xml:space="preserve">As further described in </w:t>
      </w:r>
      <w:r w:rsidR="005F23C8">
        <w:t xml:space="preserve">Chapter 3 of </w:t>
      </w:r>
      <w:r w:rsidR="007C0B94">
        <w:t>the 2025 IRP Main Document, the s</w:t>
      </w:r>
      <w:r>
        <w:t xml:space="preserve">cenarios </w:t>
      </w:r>
      <w:r w:rsidR="00667880">
        <w:t xml:space="preserve">reflect </w:t>
      </w:r>
      <w:r w:rsidR="007C0B94">
        <w:t xml:space="preserve">a </w:t>
      </w:r>
      <w:r>
        <w:t xml:space="preserve">range </w:t>
      </w:r>
      <w:r w:rsidR="007C0B94">
        <w:t xml:space="preserve">of </w:t>
      </w:r>
      <w:r>
        <w:t>natural gas prices and greenhouse gas pressure</w:t>
      </w:r>
      <w:r w:rsidR="0006404E">
        <w:t xml:space="preserve"> (“GHG”)</w:t>
      </w:r>
      <w:r>
        <w:t>. In addition</w:t>
      </w:r>
      <w:r w:rsidR="00593F33">
        <w:t>,</w:t>
      </w:r>
      <w:r w:rsidR="0032113C">
        <w:t xml:space="preserve"> </w:t>
      </w:r>
      <w:r w:rsidR="00F825C0">
        <w:t>two 111 GHG Rules</w:t>
      </w:r>
      <w:r>
        <w:t>-specific scenario</w:t>
      </w:r>
      <w:r w:rsidR="00F825C0">
        <w:t>s</w:t>
      </w:r>
      <w:r>
        <w:t xml:space="preserve"> </w:t>
      </w:r>
      <w:r w:rsidR="00F825C0">
        <w:t>were</w:t>
      </w:r>
      <w:r>
        <w:t xml:space="preserve"> used for the analyses.</w:t>
      </w:r>
    </w:p>
    <w:p w14:paraId="4CD1EFCA" w14:textId="00F35A84" w:rsidR="00A142BF" w:rsidRDefault="00A142BF" w:rsidP="00A142BF">
      <w:pPr>
        <w:pStyle w:val="Title"/>
      </w:pPr>
      <w:r>
        <w:t xml:space="preserve">Table </w:t>
      </w:r>
      <w:r w:rsidRPr="002B137B">
        <w:t>4</w:t>
      </w:r>
      <w:r>
        <w:t xml:space="preserve">. Planning </w:t>
      </w:r>
      <w:r w:rsidR="00D743BF">
        <w:t>S</w:t>
      </w:r>
      <w:r>
        <w:t xml:space="preserve">cenarios </w:t>
      </w:r>
      <w:r w:rsidR="00D743BF">
        <w:t>I</w:t>
      </w:r>
      <w:r>
        <w:t xml:space="preserve">ncluded in </w:t>
      </w:r>
      <w:r w:rsidR="00D743BF">
        <w:t>A</w:t>
      </w:r>
      <w:r>
        <w:t>nalyses</w:t>
      </w:r>
    </w:p>
    <w:tbl>
      <w:tblPr>
        <w:tblStyle w:val="GridTable4"/>
        <w:tblW w:w="5692" w:type="dxa"/>
        <w:jc w:val="center"/>
        <w:tblLook w:val="04A0" w:firstRow="1" w:lastRow="0" w:firstColumn="1" w:lastColumn="0" w:noHBand="0" w:noVBand="1"/>
      </w:tblPr>
      <w:tblGrid>
        <w:gridCol w:w="1660"/>
        <w:gridCol w:w="1872"/>
        <w:gridCol w:w="2160"/>
      </w:tblGrid>
      <w:tr w:rsidR="00542B80" w:rsidRPr="00670AB1" w14:paraId="29ADF031" w14:textId="77777777" w:rsidTr="00542B80">
        <w:trPr>
          <w:cnfStyle w:val="100000000000" w:firstRow="1" w:lastRow="0" w:firstColumn="0" w:lastColumn="0" w:oddVBand="0" w:evenVBand="0" w:oddHBand="0"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1660" w:type="dxa"/>
            <w:vAlign w:val="center"/>
            <w:hideMark/>
          </w:tcPr>
          <w:p w14:paraId="2CE90481" w14:textId="77777777" w:rsidR="00A142BF" w:rsidRPr="00670AB1" w:rsidRDefault="00A142BF">
            <w:pPr>
              <w:pStyle w:val="NoSpacing"/>
              <w:jc w:val="center"/>
              <w:rPr>
                <w:rFonts w:eastAsia="Times New Roman"/>
                <w:b w:val="0"/>
                <w:bCs w:val="0"/>
              </w:rPr>
            </w:pPr>
            <w:r w:rsidRPr="00670AB1">
              <w:rPr>
                <w:rFonts w:eastAsia="Times New Roman"/>
              </w:rPr>
              <w:t>Scenario Name</w:t>
            </w:r>
          </w:p>
        </w:tc>
        <w:tc>
          <w:tcPr>
            <w:tcW w:w="1872" w:type="dxa"/>
            <w:vAlign w:val="center"/>
            <w:hideMark/>
          </w:tcPr>
          <w:p w14:paraId="025EA6D4" w14:textId="3F8F90BA" w:rsidR="00A142BF" w:rsidRPr="00670AB1" w:rsidRDefault="00542B80">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Pr>
                <w:rFonts w:eastAsia="Times New Roman"/>
              </w:rPr>
              <w:t xml:space="preserve">Fuel </w:t>
            </w:r>
            <w:r w:rsidR="00A142BF" w:rsidRPr="00670AB1">
              <w:rPr>
                <w:rFonts w:eastAsia="Times New Roman"/>
              </w:rPr>
              <w:t>View</w:t>
            </w:r>
          </w:p>
        </w:tc>
        <w:tc>
          <w:tcPr>
            <w:tcW w:w="2160" w:type="dxa"/>
            <w:vAlign w:val="center"/>
            <w:hideMark/>
          </w:tcPr>
          <w:p w14:paraId="22E05513" w14:textId="0BC71C26" w:rsidR="00542B80" w:rsidRDefault="00A142BF">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670AB1">
              <w:rPr>
                <w:rFonts w:eastAsia="Times New Roman"/>
              </w:rPr>
              <w:t>Greenhouse</w:t>
            </w:r>
          </w:p>
          <w:p w14:paraId="0432BDF4" w14:textId="514017DD" w:rsidR="00A142BF" w:rsidRPr="00670AB1" w:rsidRDefault="00A142BF">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670AB1">
              <w:rPr>
                <w:rFonts w:eastAsia="Times New Roman"/>
              </w:rPr>
              <w:t xml:space="preserve"> Gas Pressure View</w:t>
            </w:r>
          </w:p>
        </w:tc>
      </w:tr>
      <w:tr w:rsidR="00542B80" w:rsidRPr="00670AB1" w14:paraId="661FE5C7" w14:textId="77777777" w:rsidTr="00542B80">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10E45B44" w14:textId="77777777" w:rsidR="00A142BF" w:rsidRPr="00670AB1" w:rsidRDefault="00A142BF">
            <w:pPr>
              <w:pStyle w:val="NoSpacing"/>
              <w:jc w:val="center"/>
              <w:rPr>
                <w:rFonts w:eastAsia="Times New Roman"/>
              </w:rPr>
            </w:pPr>
            <w:r w:rsidRPr="00670AB1">
              <w:rPr>
                <w:rFonts w:eastAsia="Times New Roman"/>
              </w:rPr>
              <w:t>MG0</w:t>
            </w:r>
          </w:p>
        </w:tc>
        <w:tc>
          <w:tcPr>
            <w:tcW w:w="1872" w:type="dxa"/>
            <w:noWrap/>
            <w:vAlign w:val="center"/>
            <w:hideMark/>
          </w:tcPr>
          <w:p w14:paraId="238DF145" w14:textId="37689F36" w:rsidR="00A142BF" w:rsidRPr="00670AB1" w:rsidRDefault="00A142BF">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Moderate</w:t>
            </w:r>
          </w:p>
        </w:tc>
        <w:tc>
          <w:tcPr>
            <w:tcW w:w="2160" w:type="dxa"/>
            <w:noWrap/>
            <w:vAlign w:val="center"/>
            <w:hideMark/>
          </w:tcPr>
          <w:p w14:paraId="176DB0AF" w14:textId="77777777" w:rsidR="00A142BF" w:rsidRPr="00670AB1" w:rsidRDefault="00A142BF">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$0</w:t>
            </w:r>
          </w:p>
        </w:tc>
      </w:tr>
      <w:tr w:rsidR="00542B80" w:rsidRPr="00670AB1" w14:paraId="6DC2F87C" w14:textId="77777777" w:rsidTr="00542B80">
        <w:trPr>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70BEEE53" w14:textId="77777777" w:rsidR="00A142BF" w:rsidRPr="00670AB1" w:rsidRDefault="00A142BF">
            <w:pPr>
              <w:pStyle w:val="NoSpacing"/>
              <w:jc w:val="center"/>
              <w:rPr>
                <w:rFonts w:eastAsia="Times New Roman"/>
              </w:rPr>
            </w:pPr>
            <w:r w:rsidRPr="00670AB1">
              <w:rPr>
                <w:rFonts w:eastAsia="Times New Roman"/>
              </w:rPr>
              <w:t>HG0</w:t>
            </w:r>
          </w:p>
        </w:tc>
        <w:tc>
          <w:tcPr>
            <w:tcW w:w="1872" w:type="dxa"/>
            <w:noWrap/>
            <w:vAlign w:val="center"/>
            <w:hideMark/>
          </w:tcPr>
          <w:p w14:paraId="67C9E561" w14:textId="0479131F" w:rsidR="00A142BF" w:rsidRPr="00670AB1" w:rsidRDefault="00A142BF">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High</w:t>
            </w:r>
          </w:p>
        </w:tc>
        <w:tc>
          <w:tcPr>
            <w:tcW w:w="2160" w:type="dxa"/>
            <w:noWrap/>
            <w:vAlign w:val="center"/>
            <w:hideMark/>
          </w:tcPr>
          <w:p w14:paraId="4771A490" w14:textId="77777777" w:rsidR="00A142BF" w:rsidRPr="00670AB1" w:rsidRDefault="00A142BF">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$0</w:t>
            </w:r>
          </w:p>
        </w:tc>
      </w:tr>
      <w:tr w:rsidR="00542B80" w:rsidRPr="00670AB1" w14:paraId="4A0384B3" w14:textId="77777777" w:rsidTr="00542B80">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6BC39485" w14:textId="77777777" w:rsidR="00A142BF" w:rsidRPr="00670AB1" w:rsidRDefault="00A142BF">
            <w:pPr>
              <w:pStyle w:val="NoSpacing"/>
              <w:jc w:val="center"/>
              <w:rPr>
                <w:rFonts w:eastAsia="Times New Roman"/>
              </w:rPr>
            </w:pPr>
            <w:r w:rsidRPr="00670AB1">
              <w:rPr>
                <w:rFonts w:eastAsia="Times New Roman"/>
              </w:rPr>
              <w:t>LG0</w:t>
            </w:r>
          </w:p>
        </w:tc>
        <w:tc>
          <w:tcPr>
            <w:tcW w:w="1872" w:type="dxa"/>
            <w:noWrap/>
            <w:vAlign w:val="center"/>
            <w:hideMark/>
          </w:tcPr>
          <w:p w14:paraId="4925ACAD" w14:textId="667E577D" w:rsidR="00A142BF" w:rsidRPr="00670AB1" w:rsidRDefault="00A142BF">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Low</w:t>
            </w:r>
          </w:p>
        </w:tc>
        <w:tc>
          <w:tcPr>
            <w:tcW w:w="2160" w:type="dxa"/>
            <w:noWrap/>
            <w:vAlign w:val="center"/>
            <w:hideMark/>
          </w:tcPr>
          <w:p w14:paraId="455E3427" w14:textId="77777777" w:rsidR="00A142BF" w:rsidRPr="00670AB1" w:rsidRDefault="00A142BF">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$0</w:t>
            </w:r>
          </w:p>
        </w:tc>
      </w:tr>
      <w:tr w:rsidR="00542B80" w:rsidRPr="00670AB1" w14:paraId="74BA3E17" w14:textId="77777777" w:rsidTr="00542B80">
        <w:trPr>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04069A47" w14:textId="77777777" w:rsidR="00A142BF" w:rsidRPr="00670AB1" w:rsidRDefault="00A142BF">
            <w:pPr>
              <w:pStyle w:val="NoSpacing"/>
              <w:jc w:val="center"/>
              <w:rPr>
                <w:rFonts w:eastAsia="Times New Roman"/>
              </w:rPr>
            </w:pPr>
            <w:r w:rsidRPr="00670AB1">
              <w:rPr>
                <w:rFonts w:eastAsia="Times New Roman"/>
              </w:rPr>
              <w:t>MG20</w:t>
            </w:r>
          </w:p>
        </w:tc>
        <w:tc>
          <w:tcPr>
            <w:tcW w:w="1872" w:type="dxa"/>
            <w:noWrap/>
            <w:vAlign w:val="center"/>
            <w:hideMark/>
          </w:tcPr>
          <w:p w14:paraId="0C5941B4" w14:textId="1EB91034" w:rsidR="00A142BF" w:rsidRPr="00670AB1" w:rsidRDefault="00A142BF">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Moderate</w:t>
            </w:r>
          </w:p>
        </w:tc>
        <w:tc>
          <w:tcPr>
            <w:tcW w:w="2160" w:type="dxa"/>
            <w:noWrap/>
            <w:vAlign w:val="center"/>
            <w:hideMark/>
          </w:tcPr>
          <w:p w14:paraId="573A5ACD" w14:textId="77777777" w:rsidR="00A142BF" w:rsidRPr="00670AB1" w:rsidRDefault="00A142BF">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$20</w:t>
            </w:r>
          </w:p>
        </w:tc>
      </w:tr>
      <w:tr w:rsidR="00542B80" w:rsidRPr="00670AB1" w14:paraId="5802DA46" w14:textId="77777777" w:rsidTr="00542B80">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27ECED78" w14:textId="77777777" w:rsidR="00A142BF" w:rsidRPr="00670AB1" w:rsidRDefault="00A142BF">
            <w:pPr>
              <w:pStyle w:val="NoSpacing"/>
              <w:jc w:val="center"/>
              <w:rPr>
                <w:rFonts w:eastAsia="Times New Roman"/>
              </w:rPr>
            </w:pPr>
            <w:r w:rsidRPr="00670AB1">
              <w:rPr>
                <w:rFonts w:eastAsia="Times New Roman"/>
              </w:rPr>
              <w:t>MG50</w:t>
            </w:r>
          </w:p>
        </w:tc>
        <w:tc>
          <w:tcPr>
            <w:tcW w:w="1872" w:type="dxa"/>
            <w:noWrap/>
            <w:vAlign w:val="center"/>
            <w:hideMark/>
          </w:tcPr>
          <w:p w14:paraId="475EEAD6" w14:textId="0D1E517D" w:rsidR="00A142BF" w:rsidRPr="00670AB1" w:rsidRDefault="00A142BF">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Moderate</w:t>
            </w:r>
          </w:p>
        </w:tc>
        <w:tc>
          <w:tcPr>
            <w:tcW w:w="2160" w:type="dxa"/>
            <w:noWrap/>
            <w:vAlign w:val="center"/>
            <w:hideMark/>
          </w:tcPr>
          <w:p w14:paraId="1F63F035" w14:textId="77777777" w:rsidR="00A142BF" w:rsidRPr="00670AB1" w:rsidRDefault="00A142BF">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$50</w:t>
            </w:r>
          </w:p>
        </w:tc>
      </w:tr>
      <w:tr w:rsidR="00542B80" w:rsidRPr="00670AB1" w14:paraId="05998524" w14:textId="77777777" w:rsidTr="00542B80">
        <w:trPr>
          <w:trHeight w:val="435"/>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007C920A" w14:textId="7CEDCBF0" w:rsidR="00A142BF" w:rsidRPr="00670AB1" w:rsidRDefault="00F41A44">
            <w:pPr>
              <w:pStyle w:val="NoSpacing"/>
              <w:jc w:val="center"/>
              <w:rPr>
                <w:rFonts w:eastAsia="Times New Roman"/>
              </w:rPr>
            </w:pPr>
            <w:r>
              <w:rPr>
                <w:rFonts w:eastAsia="Times New Roman"/>
              </w:rPr>
              <w:t>111-</w:t>
            </w:r>
            <w:r w:rsidR="00AE24F9">
              <w:rPr>
                <w:rFonts w:eastAsia="Times New Roman"/>
              </w:rPr>
              <w:t>MG0</w:t>
            </w:r>
          </w:p>
        </w:tc>
        <w:tc>
          <w:tcPr>
            <w:tcW w:w="1872" w:type="dxa"/>
            <w:noWrap/>
            <w:vAlign w:val="center"/>
            <w:hideMark/>
          </w:tcPr>
          <w:p w14:paraId="45FB3E9B" w14:textId="61DD0F63" w:rsidR="00A142BF" w:rsidRPr="00670AB1" w:rsidRDefault="00AE24F9">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rPr>
              <w:t>Moderate</w:t>
            </w:r>
          </w:p>
        </w:tc>
        <w:tc>
          <w:tcPr>
            <w:tcW w:w="2160" w:type="dxa"/>
            <w:noWrap/>
            <w:vAlign w:val="center"/>
            <w:hideMark/>
          </w:tcPr>
          <w:p w14:paraId="529DAA42" w14:textId="2F942697" w:rsidR="00A142BF" w:rsidRPr="00670AB1" w:rsidRDefault="00AE24F9">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rPr>
              <w:t>$0 + 111</w:t>
            </w:r>
          </w:p>
        </w:tc>
      </w:tr>
      <w:tr w:rsidR="00542B80" w:rsidRPr="00670AB1" w14:paraId="72A8BB26" w14:textId="77777777" w:rsidTr="00542B80">
        <w:trPr>
          <w:cnfStyle w:val="000000100000" w:firstRow="0" w:lastRow="0" w:firstColumn="0" w:lastColumn="0" w:oddVBand="0" w:evenVBand="0" w:oddHBand="1" w:evenHBand="0"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tcPr>
          <w:p w14:paraId="4B51E9AB" w14:textId="1438D4D6" w:rsidR="00AE24F9" w:rsidRPr="00670AB1" w:rsidRDefault="00F41A44" w:rsidP="00AE24F9">
            <w:pPr>
              <w:pStyle w:val="NoSpacing"/>
              <w:jc w:val="center"/>
              <w:rPr>
                <w:rFonts w:eastAsia="Times New Roman"/>
              </w:rPr>
            </w:pPr>
            <w:r>
              <w:rPr>
                <w:rFonts w:eastAsia="Times New Roman"/>
              </w:rPr>
              <w:t>111-</w:t>
            </w:r>
            <w:r w:rsidR="00AE24F9">
              <w:rPr>
                <w:rFonts w:eastAsia="Times New Roman"/>
              </w:rPr>
              <w:t>MG50</w:t>
            </w:r>
          </w:p>
        </w:tc>
        <w:tc>
          <w:tcPr>
            <w:tcW w:w="1872" w:type="dxa"/>
            <w:noWrap/>
            <w:vAlign w:val="center"/>
          </w:tcPr>
          <w:p w14:paraId="207E2927" w14:textId="4581C326" w:rsidR="00AE24F9" w:rsidRPr="00670AB1" w:rsidRDefault="00AE24F9" w:rsidP="00AE24F9">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t>Moderate</w:t>
            </w:r>
          </w:p>
        </w:tc>
        <w:tc>
          <w:tcPr>
            <w:tcW w:w="2160" w:type="dxa"/>
            <w:noWrap/>
            <w:vAlign w:val="center"/>
          </w:tcPr>
          <w:p w14:paraId="22FD8374" w14:textId="3F7AFC63" w:rsidR="00AE24F9" w:rsidRPr="00670AB1" w:rsidRDefault="00AE24F9" w:rsidP="00AE24F9">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t>$50 + 111</w:t>
            </w:r>
          </w:p>
        </w:tc>
      </w:tr>
    </w:tbl>
    <w:p w14:paraId="038B2F4B" w14:textId="77777777" w:rsidR="00605D40" w:rsidRPr="00605D40" w:rsidRDefault="00605D40" w:rsidP="00AE24F9"/>
    <w:p w14:paraId="067BD538" w14:textId="77777777" w:rsidR="00D55FB3" w:rsidRDefault="00D55FB3">
      <w:pPr>
        <w:spacing w:after="160" w:line="259" w:lineRule="auto"/>
        <w:jc w:val="left"/>
        <w:rPr>
          <w:rFonts w:eastAsia="Calibri"/>
          <w:bCs/>
          <w:color w:val="156082" w:themeColor="accent1"/>
          <w:sz w:val="24"/>
          <w:szCs w:val="24"/>
        </w:rPr>
      </w:pPr>
      <w:r>
        <w:br w:type="page"/>
      </w:r>
    </w:p>
    <w:p w14:paraId="3A276371" w14:textId="1A9FFB63" w:rsidR="00114710" w:rsidRDefault="00851994" w:rsidP="00625F6B">
      <w:pPr>
        <w:pStyle w:val="Heading2"/>
      </w:pPr>
      <w:r>
        <w:lastRenderedPageBreak/>
        <w:t xml:space="preserve">Upgrade </w:t>
      </w:r>
      <w:r w:rsidR="00114710">
        <w:t>Capital Costs</w:t>
      </w:r>
    </w:p>
    <w:p w14:paraId="5AD10C7D" w14:textId="7492BA66" w:rsidR="00141F4E" w:rsidRDefault="00141F4E" w:rsidP="00625F6B">
      <w:r>
        <w:t xml:space="preserve">For the </w:t>
      </w:r>
      <w:r w:rsidDel="007F0EB5">
        <w:t>NG</w:t>
      </w:r>
      <w:r w:rsidR="007F0EB5">
        <w:t>CC</w:t>
      </w:r>
      <w:r>
        <w:t xml:space="preserve"> units, </w:t>
      </w:r>
      <w:r w:rsidR="00CF28CF">
        <w:t>capital costs include expenses paid to the Original Equipment Manufacturer (“OEM”)</w:t>
      </w:r>
      <w:r>
        <w:t>, which in this case is</w:t>
      </w:r>
      <w:r w:rsidR="00542B80">
        <w:t xml:space="preserve"> </w:t>
      </w:r>
      <w:r w:rsidRPr="00242C19">
        <w:t>GE</w:t>
      </w:r>
      <w:r w:rsidR="00BC09C1">
        <w:t>,</w:t>
      </w:r>
      <w:r>
        <w:t xml:space="preserve"> </w:t>
      </w:r>
      <w:r w:rsidR="00CF28CF">
        <w:t xml:space="preserve">during the </w:t>
      </w:r>
      <w:r w:rsidR="00DA55EA">
        <w:t>upgrade</w:t>
      </w:r>
      <w:r w:rsidR="00CF28CF">
        <w:t xml:space="preserve"> planned outage</w:t>
      </w:r>
      <w:r w:rsidR="006F4FEB">
        <w:t>s</w:t>
      </w:r>
      <w:r w:rsidR="00CF28CF">
        <w:t xml:space="preserve">. In addition, these costs include </w:t>
      </w:r>
      <w:r>
        <w:t xml:space="preserve">required improvements to the balance of plant (“BOP”) equipment, apart from the combustion turbines. These BOP improvements include the Heat Recovery Steam Generator (“HRSG”), the Selective Catalytic Reduction (“SCR”) portion of the hot gas path, and the Generation Step-Up (“GSU”) transformers. </w:t>
      </w:r>
      <w:r w:rsidR="00FA3375">
        <w:t xml:space="preserve">The following table shows the evaluated in-service capital costs for the combined cycle </w:t>
      </w:r>
      <w:r w:rsidR="003549AD">
        <w:t>upgrades</w:t>
      </w:r>
      <w:r w:rsidR="00FA3375">
        <w:t>.</w:t>
      </w:r>
    </w:p>
    <w:p w14:paraId="61254E58" w14:textId="09F5FC30" w:rsidR="00FA3375" w:rsidRDefault="00FA3375" w:rsidP="00851994">
      <w:pPr>
        <w:pStyle w:val="Title"/>
        <w:keepLines/>
      </w:pPr>
      <w:r>
        <w:t xml:space="preserve">Table 5. In-Service Capital Cost for Combined Cycle </w:t>
      </w:r>
      <w:r w:rsidR="00DA55EA">
        <w:t>Upgrade</w:t>
      </w:r>
      <w:r w:rsidR="00AC7040">
        <w:t>s (Units 10&amp;11)</w:t>
      </w:r>
    </w:p>
    <w:tbl>
      <w:tblPr>
        <w:tblStyle w:val="ListTable4"/>
        <w:tblW w:w="5850" w:type="dxa"/>
        <w:jc w:val="center"/>
        <w:tblLook w:val="04A0" w:firstRow="1" w:lastRow="0" w:firstColumn="1" w:lastColumn="0" w:noHBand="0" w:noVBand="1"/>
      </w:tblPr>
      <w:tblGrid>
        <w:gridCol w:w="3150"/>
        <w:gridCol w:w="2700"/>
      </w:tblGrid>
      <w:tr w:rsidR="00FA3375" w:rsidRPr="00FA3375" w14:paraId="17E20467" w14:textId="77777777" w:rsidTr="3EC06282">
        <w:trPr>
          <w:cnfStyle w:val="100000000000" w:firstRow="1" w:lastRow="0" w:firstColumn="0" w:lastColumn="0" w:oddVBand="0" w:evenVBand="0" w:oddHBand="0"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3150" w:type="dxa"/>
            <w:hideMark/>
          </w:tcPr>
          <w:p w14:paraId="0C13823E" w14:textId="77777777" w:rsidR="00FA3375" w:rsidRPr="00FA3375" w:rsidRDefault="00FA3375" w:rsidP="00851994">
            <w:pPr>
              <w:pStyle w:val="NoSpacing"/>
              <w:keepNext/>
              <w:keepLines/>
              <w:jc w:val="center"/>
              <w:rPr>
                <w:rFonts w:eastAsia="Times New Roman"/>
                <w:b w:val="0"/>
                <w:bCs w:val="0"/>
              </w:rPr>
            </w:pPr>
            <w:r w:rsidRPr="00FA3375">
              <w:rPr>
                <w:rFonts w:eastAsia="Times New Roman"/>
              </w:rPr>
              <w:t>Cost Category</w:t>
            </w:r>
          </w:p>
        </w:tc>
        <w:tc>
          <w:tcPr>
            <w:tcW w:w="2700" w:type="dxa"/>
            <w:hideMark/>
          </w:tcPr>
          <w:p w14:paraId="6E94508B" w14:textId="77777777" w:rsidR="00FA3375" w:rsidRDefault="00FA3375" w:rsidP="00851994">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FA3375">
              <w:rPr>
                <w:rFonts w:eastAsia="Times New Roman"/>
              </w:rPr>
              <w:t>In-Service Capital</w:t>
            </w:r>
          </w:p>
          <w:p w14:paraId="63784453" w14:textId="25E9EB83" w:rsidR="00542B80" w:rsidRPr="00542B80" w:rsidRDefault="00542B80" w:rsidP="00851994">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i/>
                <w:iCs/>
              </w:rPr>
            </w:pPr>
            <w:r w:rsidRPr="00542B80">
              <w:rPr>
                <w:rFonts w:eastAsia="Times New Roman"/>
                <w:b w:val="0"/>
                <w:bCs w:val="0"/>
                <w:i/>
                <w:iCs/>
                <w:sz w:val="16"/>
                <w:szCs w:val="16"/>
              </w:rPr>
              <w:t>(values reflect rounding)</w:t>
            </w:r>
          </w:p>
        </w:tc>
      </w:tr>
      <w:tr w:rsidR="00FA3375" w:rsidRPr="00FA3375" w14:paraId="2D7F9FD8" w14:textId="77777777" w:rsidTr="3EC0628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50" w:type="dxa"/>
            <w:noWrap/>
            <w:hideMark/>
          </w:tcPr>
          <w:p w14:paraId="54CF8FED" w14:textId="77777777" w:rsidR="00FA3375" w:rsidRPr="00FA3375" w:rsidRDefault="00FA3375" w:rsidP="00851994">
            <w:pPr>
              <w:pStyle w:val="NoSpacing"/>
              <w:keepNext/>
              <w:keepLines/>
              <w:jc w:val="center"/>
              <w:rPr>
                <w:rFonts w:eastAsia="Times New Roman"/>
              </w:rPr>
            </w:pPr>
            <w:r w:rsidRPr="00B0020F">
              <w:rPr>
                <w:rFonts w:eastAsia="Times New Roman"/>
              </w:rPr>
              <w:t>GE</w:t>
            </w:r>
            <w:r w:rsidRPr="7950E529">
              <w:rPr>
                <w:rFonts w:eastAsia="Times New Roman"/>
              </w:rPr>
              <w:t xml:space="preserve"> Capital Cost</w:t>
            </w:r>
          </w:p>
        </w:tc>
        <w:tc>
          <w:tcPr>
            <w:tcW w:w="2700" w:type="dxa"/>
            <w:noWrap/>
            <w:hideMark/>
          </w:tcPr>
          <w:p w14:paraId="39D14CE4" w14:textId="52A02A9A" w:rsidR="00FA3375" w:rsidRPr="00067EFD" w:rsidRDefault="00067EFD" w:rsidP="00851994">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b/>
                <w:bCs/>
              </w:rPr>
            </w:pPr>
            <w:r w:rsidRPr="00067EFD">
              <w:rPr>
                <w:rFonts w:eastAsia="Times New Roman"/>
                <w:b/>
                <w:bCs/>
              </w:rPr>
              <w:t>REDACTED</w:t>
            </w:r>
          </w:p>
        </w:tc>
      </w:tr>
      <w:tr w:rsidR="00FA3375" w:rsidRPr="00FA3375" w14:paraId="3BDA84B6" w14:textId="77777777" w:rsidTr="3EC06282">
        <w:trPr>
          <w:trHeight w:val="300"/>
          <w:jc w:val="center"/>
        </w:trPr>
        <w:tc>
          <w:tcPr>
            <w:cnfStyle w:val="001000000000" w:firstRow="0" w:lastRow="0" w:firstColumn="1" w:lastColumn="0" w:oddVBand="0" w:evenVBand="0" w:oddHBand="0" w:evenHBand="0" w:firstRowFirstColumn="0" w:firstRowLastColumn="0" w:lastRowFirstColumn="0" w:lastRowLastColumn="0"/>
            <w:tcW w:w="3150" w:type="dxa"/>
            <w:noWrap/>
            <w:hideMark/>
          </w:tcPr>
          <w:p w14:paraId="1423F338" w14:textId="77777777" w:rsidR="00FA3375" w:rsidRPr="00FA3375" w:rsidRDefault="00FA3375" w:rsidP="00851994">
            <w:pPr>
              <w:pStyle w:val="NoSpacing"/>
              <w:keepNext/>
              <w:keepLines/>
              <w:jc w:val="center"/>
              <w:rPr>
                <w:rFonts w:eastAsia="Times New Roman"/>
              </w:rPr>
            </w:pPr>
            <w:r w:rsidRPr="00FA3375">
              <w:rPr>
                <w:rFonts w:eastAsia="Times New Roman"/>
              </w:rPr>
              <w:t>BOP Capital Cost</w:t>
            </w:r>
          </w:p>
        </w:tc>
        <w:tc>
          <w:tcPr>
            <w:tcW w:w="2700" w:type="dxa"/>
            <w:noWrap/>
            <w:hideMark/>
          </w:tcPr>
          <w:p w14:paraId="42366557" w14:textId="4BE04793" w:rsidR="00FA3375" w:rsidRPr="007601FF" w:rsidRDefault="00067EFD" w:rsidP="00851994">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067EFD">
              <w:rPr>
                <w:rFonts w:eastAsia="Times New Roman"/>
                <w:b/>
                <w:bCs/>
              </w:rPr>
              <w:t>REDACTED</w:t>
            </w:r>
          </w:p>
        </w:tc>
      </w:tr>
      <w:tr w:rsidR="00FA3375" w:rsidRPr="00FA3375" w14:paraId="42C7673F" w14:textId="77777777" w:rsidTr="3EC0628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50" w:type="dxa"/>
            <w:shd w:val="clear" w:color="auto" w:fill="D9D9D9" w:themeFill="background1" w:themeFillShade="D9"/>
            <w:noWrap/>
            <w:hideMark/>
          </w:tcPr>
          <w:p w14:paraId="4922063E" w14:textId="77777777" w:rsidR="00FA3375" w:rsidRPr="00FA3375" w:rsidRDefault="00FA3375" w:rsidP="00851994">
            <w:pPr>
              <w:pStyle w:val="NoSpacing"/>
              <w:keepNext/>
              <w:keepLines/>
              <w:jc w:val="center"/>
              <w:rPr>
                <w:rFonts w:eastAsia="Times New Roman"/>
              </w:rPr>
            </w:pPr>
            <w:r w:rsidRPr="00FA3375">
              <w:rPr>
                <w:rFonts w:eastAsia="Times New Roman"/>
              </w:rPr>
              <w:t>Total</w:t>
            </w:r>
          </w:p>
        </w:tc>
        <w:tc>
          <w:tcPr>
            <w:tcW w:w="2700" w:type="dxa"/>
            <w:shd w:val="clear" w:color="auto" w:fill="D9D9D9" w:themeFill="background1" w:themeFillShade="D9"/>
            <w:noWrap/>
            <w:hideMark/>
          </w:tcPr>
          <w:p w14:paraId="39566758" w14:textId="480EB124" w:rsidR="00FA3375" w:rsidRPr="007601FF" w:rsidRDefault="00067EFD" w:rsidP="00851994">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067EFD">
              <w:rPr>
                <w:rFonts w:eastAsia="Times New Roman"/>
                <w:b/>
                <w:bCs/>
              </w:rPr>
              <w:t>REDACTED</w:t>
            </w:r>
          </w:p>
        </w:tc>
      </w:tr>
    </w:tbl>
    <w:p w14:paraId="3660998B" w14:textId="7667460E" w:rsidR="00FA3375" w:rsidRDefault="006959FB" w:rsidP="00625F6B">
      <w:pPr>
        <w:spacing w:before="240"/>
      </w:pPr>
      <w:r>
        <w:t xml:space="preserve">The simple cycle combustion turbine </w:t>
      </w:r>
      <w:r w:rsidR="003549AD">
        <w:t>upgrades</w:t>
      </w:r>
      <w:r w:rsidR="003549AD" w:rsidDel="003549AD">
        <w:t xml:space="preserve"> </w:t>
      </w:r>
      <w:r>
        <w:t>do not require up front capital expenditures exceeding the budgeted capital for maintenance.</w:t>
      </w:r>
    </w:p>
    <w:p w14:paraId="12741E50" w14:textId="77777777" w:rsidR="00851994" w:rsidRDefault="00851994" w:rsidP="00851994">
      <w:pPr>
        <w:pStyle w:val="Heading2"/>
      </w:pPr>
      <w:r>
        <w:t>Capital for Maintenance</w:t>
      </w:r>
    </w:p>
    <w:p w14:paraId="0BBB9532" w14:textId="6AF1CC0E" w:rsidR="00851994" w:rsidRDefault="00851994" w:rsidP="3EC06282">
      <w:r>
        <w:t>Maintenance capital costs are the budgeted capital expenditures necessary to maintain reliable operation. These costs include, but are not limited to, capital replacements and improvements to existing resources. The NGCC maintenance capital budgets will be increased in the first major inspections after the upgrade outages to cover the cost to refurbish the upgraded turbine parts. This increase amounts to</w:t>
      </w:r>
      <w:r w:rsidR="00067EFD">
        <w:t xml:space="preserve"> </w:t>
      </w:r>
      <w:r w:rsidR="00067EFD" w:rsidRPr="00067EFD">
        <w:rPr>
          <w:b/>
          <w:bCs/>
          <w:sz w:val="10"/>
          <w:szCs w:val="10"/>
        </w:rPr>
        <w:t>REDACTED</w:t>
      </w:r>
      <w:r>
        <w:t xml:space="preserve"> projected for 2032. The simple cycle CT maintenance capital budget will be reduced by over</w:t>
      </w:r>
      <w:r w:rsidR="00067EFD">
        <w:t xml:space="preserve"> </w:t>
      </w:r>
      <w:r w:rsidR="00067EFD" w:rsidRPr="00067EFD">
        <w:rPr>
          <w:b/>
          <w:bCs/>
          <w:sz w:val="8"/>
          <w:szCs w:val="8"/>
        </w:rPr>
        <w:t>REDACTED</w:t>
      </w:r>
      <w:r>
        <w:t xml:space="preserve"> per outage where a major inspection will be performed.</w:t>
      </w:r>
    </w:p>
    <w:p w14:paraId="28872B7C" w14:textId="50E01E35" w:rsidR="00114710" w:rsidRDefault="00114710" w:rsidP="00625F6B">
      <w:pPr>
        <w:pStyle w:val="Heading2"/>
      </w:pPr>
      <w:r>
        <w:t>Operating &amp; Maintenance (</w:t>
      </w:r>
      <w:r w:rsidR="00141F4E">
        <w:t>“</w:t>
      </w:r>
      <w:r>
        <w:t>O&amp;M</w:t>
      </w:r>
      <w:r w:rsidR="00141F4E">
        <w:t>”</w:t>
      </w:r>
      <w:r>
        <w:t>) Costs</w:t>
      </w:r>
    </w:p>
    <w:p w14:paraId="3B7CD590" w14:textId="3AA6BA40" w:rsidR="00141F4E" w:rsidRDefault="00C979D0" w:rsidP="00625F6B">
      <w:r w:rsidRPr="00C979D0">
        <w:t>O&amp;M costs are broken out between fixed and variable O&amp;M for each study. Fixed O&amp;M is directly reflected in the valuation</w:t>
      </w:r>
      <w:r w:rsidR="0031145F">
        <w:t xml:space="preserve"> spreadsheet</w:t>
      </w:r>
      <w:r w:rsidRPr="00C979D0">
        <w:t xml:space="preserve"> model</w:t>
      </w:r>
      <w:r w:rsidR="0031145F">
        <w:t xml:space="preserve">. </w:t>
      </w:r>
      <w:r w:rsidRPr="00C979D0">
        <w:t xml:space="preserve">Variable O&amp;M, Fuel Costs, and Emissions Costs are netted out of each unit’s energy benefits and are derived by the production cost model. </w:t>
      </w:r>
      <w:r>
        <w:t xml:space="preserve"> </w:t>
      </w:r>
      <w:r w:rsidR="00141F4E">
        <w:t xml:space="preserve">Fixed O&amp;M costs include, but are not limited to, </w:t>
      </w:r>
      <w:r w:rsidR="00851994" w:rsidRPr="00851994">
        <w:t>labor, materials, engineering and support services, overhead costs, and other necessary activities to operate a power plant</w:t>
      </w:r>
      <w:r w:rsidR="00141F4E">
        <w:t>.</w:t>
      </w:r>
      <w:r w:rsidR="002A69FA">
        <w:t xml:space="preserve"> Fixed O&amp;M is </w:t>
      </w:r>
      <w:r w:rsidR="007B6E8F">
        <w:t>not expected to</w:t>
      </w:r>
      <w:r w:rsidR="002A69FA">
        <w:t xml:space="preserve"> be </w:t>
      </w:r>
      <w:r w:rsidR="004F7E35">
        <w:t xml:space="preserve">materially </w:t>
      </w:r>
      <w:r w:rsidR="002A69FA">
        <w:t xml:space="preserve">impacted </w:t>
      </w:r>
      <w:r w:rsidR="002E3F0B">
        <w:t xml:space="preserve">by the upgrades </w:t>
      </w:r>
      <w:r w:rsidR="002A69FA">
        <w:t>in either analysis.</w:t>
      </w:r>
    </w:p>
    <w:p w14:paraId="62B821DB" w14:textId="3683AC93" w:rsidR="008610FD" w:rsidRPr="00271B73" w:rsidRDefault="008610FD" w:rsidP="00625F6B">
      <w:pPr>
        <w:pStyle w:val="Heading2"/>
        <w:rPr>
          <w:i/>
          <w:iCs/>
        </w:rPr>
      </w:pPr>
      <w:r w:rsidRPr="00181A92">
        <w:lastRenderedPageBreak/>
        <w:t xml:space="preserve">Firm Transportation </w:t>
      </w:r>
    </w:p>
    <w:p w14:paraId="692E1975" w14:textId="2C21957E" w:rsidR="00181A92" w:rsidRDefault="00320F5D" w:rsidP="00625F6B">
      <w:r>
        <w:t>T</w:t>
      </w:r>
      <w:r w:rsidR="00E37E58">
        <w:t xml:space="preserve">he </w:t>
      </w:r>
      <w:r w:rsidR="00E37E58" w:rsidDel="00E8184D">
        <w:t>NG</w:t>
      </w:r>
      <w:r w:rsidR="00E37E58">
        <w:t xml:space="preserve">CC </w:t>
      </w:r>
      <w:r w:rsidR="00181A92">
        <w:t xml:space="preserve">units </w:t>
      </w:r>
      <w:r w:rsidR="00E37E58">
        <w:t>require</w:t>
      </w:r>
      <w:r w:rsidR="00181A92">
        <w:t xml:space="preserve"> firm transportation of natural gas (“FT”) to </w:t>
      </w:r>
      <w:r w:rsidR="001E4247">
        <w:t>secure pipeline capacity, allowing the plant to access natural gas</w:t>
      </w:r>
      <w:r w:rsidR="00AC4EB5">
        <w:t xml:space="preserve"> on a reliable basis</w:t>
      </w:r>
      <w:r w:rsidR="001A66E4">
        <w:t xml:space="preserve">. </w:t>
      </w:r>
      <w:r>
        <w:t>Therefore, t</w:t>
      </w:r>
      <w:r w:rsidR="00181A92">
        <w:t xml:space="preserve">he </w:t>
      </w:r>
      <w:r>
        <w:t xml:space="preserve">cost-benefit analysis </w:t>
      </w:r>
      <w:r w:rsidR="00545ADD">
        <w:t xml:space="preserve">includes an </w:t>
      </w:r>
      <w:r w:rsidR="00542B80">
        <w:t>incremental cost</w:t>
      </w:r>
      <w:r w:rsidR="00545ADD">
        <w:t xml:space="preserve"> for the </w:t>
      </w:r>
      <w:r w:rsidR="00AB54C6">
        <w:t xml:space="preserve">upgrades </w:t>
      </w:r>
      <w:r w:rsidR="00545ADD">
        <w:t xml:space="preserve">associated with </w:t>
      </w:r>
      <w:r w:rsidR="00AB54C6">
        <w:t xml:space="preserve">Plant </w:t>
      </w:r>
      <w:r w:rsidR="00181A92">
        <w:t xml:space="preserve">McIntosh </w:t>
      </w:r>
      <w:r w:rsidR="00AB54C6">
        <w:t>Units 10-11</w:t>
      </w:r>
      <w:r w:rsidR="00545ADD">
        <w:t xml:space="preserve">. </w:t>
      </w:r>
      <w:r w:rsidR="007D69B3">
        <w:t>This incremental cost</w:t>
      </w:r>
      <w:r w:rsidR="00545ADD">
        <w:t xml:space="preserve"> is </w:t>
      </w:r>
      <w:r w:rsidR="00181A92">
        <w:t>as shown in the following table.</w:t>
      </w:r>
    </w:p>
    <w:p w14:paraId="72A511DC" w14:textId="02D4EA4D" w:rsidR="001A66E4" w:rsidRDefault="001A66E4" w:rsidP="00542B80">
      <w:pPr>
        <w:pStyle w:val="Title"/>
        <w:keepLines/>
      </w:pPr>
      <w:r>
        <w:t xml:space="preserve">Table 6. Firm Transportation for Combined Cycle </w:t>
      </w:r>
      <w:r w:rsidR="00990DB2">
        <w:t>Upgrades</w:t>
      </w:r>
    </w:p>
    <w:tbl>
      <w:tblPr>
        <w:tblStyle w:val="GridTable4"/>
        <w:tblW w:w="3749" w:type="dxa"/>
        <w:jc w:val="center"/>
        <w:tblLook w:val="04A0" w:firstRow="1" w:lastRow="0" w:firstColumn="1" w:lastColumn="0" w:noHBand="0" w:noVBand="1"/>
      </w:tblPr>
      <w:tblGrid>
        <w:gridCol w:w="2021"/>
        <w:gridCol w:w="1728"/>
      </w:tblGrid>
      <w:tr w:rsidR="00AE24F9" w:rsidRPr="001E4247" w14:paraId="4FF263AA" w14:textId="77777777" w:rsidTr="3EC06282">
        <w:trPr>
          <w:cnfStyle w:val="100000000000" w:firstRow="1" w:lastRow="0" w:firstColumn="0" w:lastColumn="0" w:oddVBand="0" w:evenVBand="0" w:oddHBand="0"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2021" w:type="dxa"/>
            <w:vAlign w:val="center"/>
            <w:hideMark/>
          </w:tcPr>
          <w:p w14:paraId="7E2D9485" w14:textId="18D760AC" w:rsidR="00AE24F9" w:rsidRPr="007D669C" w:rsidRDefault="6399EB53" w:rsidP="32015A43">
            <w:pPr>
              <w:pStyle w:val="NoSpacing"/>
              <w:keepNext/>
              <w:keepLines/>
              <w:jc w:val="center"/>
              <w:rPr>
                <w:rFonts w:eastAsia="Times New Roman"/>
              </w:rPr>
            </w:pPr>
            <w:r w:rsidRPr="32015A43">
              <w:rPr>
                <w:rFonts w:eastAsia="Times New Roman"/>
              </w:rPr>
              <w:t>Volume</w:t>
            </w:r>
          </w:p>
          <w:p w14:paraId="663701E2" w14:textId="5EC6F384" w:rsidR="00AE24F9" w:rsidRPr="007D669C" w:rsidRDefault="00AE24F9" w:rsidP="00542B80">
            <w:pPr>
              <w:pStyle w:val="NoSpacing"/>
              <w:keepNext/>
              <w:keepLines/>
              <w:jc w:val="center"/>
              <w:rPr>
                <w:rFonts w:eastAsia="Times New Roman"/>
              </w:rPr>
            </w:pPr>
            <w:r w:rsidRPr="32015A43">
              <w:rPr>
                <w:rFonts w:eastAsia="Times New Roman"/>
              </w:rPr>
              <w:t>(MMBtu/day)</w:t>
            </w:r>
          </w:p>
        </w:tc>
        <w:tc>
          <w:tcPr>
            <w:tcW w:w="1728" w:type="dxa"/>
            <w:vAlign w:val="center"/>
            <w:hideMark/>
          </w:tcPr>
          <w:p w14:paraId="1641F6FF" w14:textId="530D1732" w:rsidR="00AE24F9" w:rsidRPr="007D669C" w:rsidRDefault="00AE24F9" w:rsidP="32015A43">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rPr>
            </w:pPr>
            <w:r w:rsidRPr="32015A43">
              <w:rPr>
                <w:rFonts w:eastAsia="Times New Roman"/>
              </w:rPr>
              <w:t>Cost</w:t>
            </w:r>
          </w:p>
          <w:p w14:paraId="094E100D" w14:textId="361EAEBE" w:rsidR="00AE24F9" w:rsidRPr="007D669C" w:rsidRDefault="747842B8" w:rsidP="00542B80">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rPr>
            </w:pPr>
            <w:r w:rsidRPr="32015A43">
              <w:rPr>
                <w:rFonts w:eastAsia="Times New Roman"/>
              </w:rPr>
              <w:t>($M/year)</w:t>
            </w:r>
            <w:r w:rsidR="00AE24F9" w:rsidRPr="32015A43">
              <w:rPr>
                <w:rFonts w:eastAsia="Times New Roman"/>
              </w:rPr>
              <w:t xml:space="preserve"> </w:t>
            </w:r>
          </w:p>
        </w:tc>
      </w:tr>
      <w:tr w:rsidR="00AE24F9" w:rsidRPr="001E4247" w14:paraId="4A666926" w14:textId="77777777" w:rsidTr="3EC06282">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2021" w:type="dxa"/>
            <w:noWrap/>
            <w:vAlign w:val="center"/>
            <w:hideMark/>
          </w:tcPr>
          <w:p w14:paraId="6AA732D1" w14:textId="77777777" w:rsidR="00AE24F9" w:rsidRPr="001E4247" w:rsidRDefault="00AE24F9" w:rsidP="00542B80">
            <w:pPr>
              <w:pStyle w:val="NoSpacing"/>
              <w:keepNext/>
              <w:keepLines/>
              <w:jc w:val="center"/>
              <w:rPr>
                <w:rFonts w:eastAsia="Times New Roman"/>
              </w:rPr>
            </w:pPr>
            <w:r w:rsidRPr="001E4247">
              <w:rPr>
                <w:rFonts w:eastAsia="Times New Roman"/>
              </w:rPr>
              <w:t>30,000</w:t>
            </w:r>
          </w:p>
        </w:tc>
        <w:tc>
          <w:tcPr>
            <w:tcW w:w="1728" w:type="dxa"/>
            <w:noWrap/>
            <w:vAlign w:val="center"/>
            <w:hideMark/>
          </w:tcPr>
          <w:p w14:paraId="06ECEDAB" w14:textId="1305379E" w:rsidR="00AE24F9" w:rsidRPr="00A2650F" w:rsidRDefault="00A2650F" w:rsidP="00542B80">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b/>
                <w:bCs/>
              </w:rPr>
            </w:pPr>
            <w:r w:rsidRPr="00A2650F">
              <w:rPr>
                <w:rFonts w:eastAsia="Times New Roman"/>
                <w:b/>
                <w:bCs/>
              </w:rPr>
              <w:t>REDACTED</w:t>
            </w:r>
          </w:p>
        </w:tc>
      </w:tr>
    </w:tbl>
    <w:p w14:paraId="521A026D" w14:textId="7CBE23BD" w:rsidR="00181A92" w:rsidRPr="00181A92" w:rsidRDefault="00181A92" w:rsidP="00625F6B">
      <w:pPr>
        <w:spacing w:before="240"/>
      </w:pPr>
      <w:r>
        <w:t xml:space="preserve">The simple cycle units at McIntosh do not require FT due to the </w:t>
      </w:r>
      <w:r w:rsidR="00F04FCB">
        <w:t xml:space="preserve">availability </w:t>
      </w:r>
      <w:r>
        <w:t xml:space="preserve">of </w:t>
      </w:r>
      <w:r w:rsidR="00F04FCB">
        <w:t xml:space="preserve">sufficient </w:t>
      </w:r>
      <w:r>
        <w:t>onsite fuel oil storage</w:t>
      </w:r>
      <w:r w:rsidR="00F04FCB">
        <w:t xml:space="preserve"> and infrastructure</w:t>
      </w:r>
      <w:r>
        <w:t>.</w:t>
      </w:r>
    </w:p>
    <w:p w14:paraId="375344FE" w14:textId="2CDA020E" w:rsidR="008610FD" w:rsidRDefault="008610FD" w:rsidP="00625F6B">
      <w:pPr>
        <w:pStyle w:val="Heading2"/>
      </w:pPr>
      <w:r w:rsidRPr="00181A92">
        <w:t>Transmission</w:t>
      </w:r>
    </w:p>
    <w:p w14:paraId="71F759DF" w14:textId="32858D88" w:rsidR="001A66E4" w:rsidRPr="001A66E4" w:rsidRDefault="001A66E4" w:rsidP="00625F6B">
      <w:r>
        <w:t xml:space="preserve">Transmission considerations for new resources or capacity additions at existing generation sites, as is the case with the McIntosh </w:t>
      </w:r>
      <w:r w:rsidR="00990DB2">
        <w:t>upgrades</w:t>
      </w:r>
      <w:r>
        <w:t>, require evaluation of transmission-related costs. The two primary categories of transmission-related costs are costs associated with delivery of the generation and the cost associated with interconnection of the generator to the transmission system.</w:t>
      </w:r>
      <w:r w:rsidR="007008D5">
        <w:t xml:space="preserve"> After evaluation, the NGCC upgrades will require the advancement of two prior-planned transmission projects</w:t>
      </w:r>
      <w:r w:rsidR="00615A9D">
        <w:t xml:space="preserve">. The incremental cost of advancement has been included in the analysis. </w:t>
      </w:r>
      <w:r w:rsidR="00945BE3">
        <w:t>The stability portion of the transmission evaluation has not been completed at time of filing</w:t>
      </w:r>
      <w:r w:rsidR="00950BFD">
        <w:t xml:space="preserve"> for the NGCC or CT upgrade opportunities</w:t>
      </w:r>
      <w:r w:rsidR="00945BE3">
        <w:t xml:space="preserve">. </w:t>
      </w:r>
      <w:r w:rsidR="00D37248">
        <w:t>In the event stability analysis identifies any additional costs, t</w:t>
      </w:r>
      <w:r w:rsidR="00945BE3">
        <w:t xml:space="preserve">he analysis will be updated </w:t>
      </w:r>
      <w:r w:rsidR="00D37248">
        <w:t>as appropriate</w:t>
      </w:r>
      <w:r w:rsidR="003C61D4">
        <w:t>.</w:t>
      </w:r>
      <w:r w:rsidR="00A5162F">
        <w:t xml:space="preserve"> </w:t>
      </w:r>
      <w:r w:rsidR="004F2061" w:rsidRPr="00B66CCD">
        <w:t>Th</w:t>
      </w:r>
      <w:r w:rsidRPr="00B66CCD">
        <w:t xml:space="preserve">ere are no incremental costs for </w:t>
      </w:r>
      <w:r w:rsidR="004F2061" w:rsidRPr="00B66CCD">
        <w:t>the CT</w:t>
      </w:r>
      <w:r w:rsidRPr="00B66CCD">
        <w:t xml:space="preserve"> up</w:t>
      </w:r>
      <w:r w:rsidR="004F2061" w:rsidRPr="00B66CCD">
        <w:t>grade</w:t>
      </w:r>
      <w:r w:rsidRPr="00B66CCD">
        <w:t xml:space="preserve"> opportunity, either for delivery or interconnection.</w:t>
      </w:r>
    </w:p>
    <w:p w14:paraId="5BEFFB81" w14:textId="75849920" w:rsidR="008610FD" w:rsidRDefault="008610FD" w:rsidP="00625F6B">
      <w:pPr>
        <w:pStyle w:val="Heading2"/>
      </w:pPr>
      <w:r w:rsidRPr="00181A92">
        <w:t>Environmental</w:t>
      </w:r>
    </w:p>
    <w:p w14:paraId="0AE64935" w14:textId="0F4D4CC5" w:rsidR="001A66E4" w:rsidRPr="001A66E4" w:rsidRDefault="001A66E4" w:rsidP="00625F6B">
      <w:r>
        <w:t>Environmental analysis is completed for material changes to unit operation or performance</w:t>
      </w:r>
      <w:r w:rsidR="008B786F">
        <w:t xml:space="preserve"> to determine whether permitting is </w:t>
      </w:r>
      <w:proofErr w:type="gramStart"/>
      <w:r w:rsidR="008B786F">
        <w:t>feasible</w:t>
      </w:r>
      <w:proofErr w:type="gramEnd"/>
      <w:r w:rsidR="00C12CEB">
        <w:t xml:space="preserve"> and any incremental costs associated with environmental compliance</w:t>
      </w:r>
      <w:r>
        <w:t>. The evaluation performed as part of the McIntosh u</w:t>
      </w:r>
      <w:r w:rsidR="27436838">
        <w:t xml:space="preserve">pgrade </w:t>
      </w:r>
      <w:r>
        <w:t xml:space="preserve">analysis resulted in no </w:t>
      </w:r>
      <w:r w:rsidR="00BA4ED9">
        <w:t>major permitting concerns</w:t>
      </w:r>
      <w:r>
        <w:t xml:space="preserve">. In addition, </w:t>
      </w:r>
      <w:r w:rsidR="00C12CEB">
        <w:t>there are</w:t>
      </w:r>
      <w:r w:rsidR="002F4CEA">
        <w:t xml:space="preserve"> no incremental environmental compliance costs associated with the up</w:t>
      </w:r>
      <w:r w:rsidR="614A72BB">
        <w:t>grade</w:t>
      </w:r>
      <w:r w:rsidR="007C753E">
        <w:t>.</w:t>
      </w:r>
      <w:r w:rsidR="00602B6C">
        <w:t xml:space="preserve"> </w:t>
      </w:r>
    </w:p>
    <w:p w14:paraId="4C8CD44D" w14:textId="77777777" w:rsidR="00990DB2" w:rsidRDefault="00990DB2">
      <w:pPr>
        <w:spacing w:after="160" w:line="259" w:lineRule="auto"/>
        <w:jc w:val="left"/>
        <w:rPr>
          <w:rFonts w:eastAsia="Calibri"/>
          <w:b/>
          <w:color w:val="156082" w:themeColor="accent1"/>
          <w:sz w:val="28"/>
          <w:szCs w:val="28"/>
        </w:rPr>
      </w:pPr>
      <w:r>
        <w:br w:type="page"/>
      </w:r>
    </w:p>
    <w:p w14:paraId="18D3AAA9" w14:textId="26D67F3F" w:rsidR="00114710" w:rsidRDefault="007A0644" w:rsidP="00625F6B">
      <w:pPr>
        <w:pStyle w:val="Heading1"/>
      </w:pPr>
      <w:r>
        <w:lastRenderedPageBreak/>
        <w:t>Summary of</w:t>
      </w:r>
      <w:r w:rsidR="00114710">
        <w:t xml:space="preserve"> Results</w:t>
      </w:r>
    </w:p>
    <w:p w14:paraId="11453FBF" w14:textId="084A5DDD" w:rsidR="001A66E4" w:rsidRDefault="004C1ED8" w:rsidP="00625F6B">
      <w:r>
        <w:t xml:space="preserve">The results from each analysis demonstrate that the proposed unit </w:t>
      </w:r>
      <w:r w:rsidR="007D6781">
        <w:t xml:space="preserve">upgrades </w:t>
      </w:r>
      <w:r>
        <w:t>are cost-effective for all scenarios evaluated, when compared with the existing unit configurations</w:t>
      </w:r>
      <w:r w:rsidR="001A66E4">
        <w:t xml:space="preserve">, as shown in Table </w:t>
      </w:r>
      <w:r w:rsidR="004001E4">
        <w:t>7</w:t>
      </w:r>
      <w:r w:rsidR="001A66E4">
        <w:t xml:space="preserve">. </w:t>
      </w:r>
      <w:r w:rsidR="006A1C21">
        <w:t>These results also demonstrate that these upgrades are a low-risk investment</w:t>
      </w:r>
      <w:r w:rsidR="00F370D1">
        <w:t xml:space="preserve">. </w:t>
      </w:r>
      <w:r w:rsidR="001A66E4">
        <w:t xml:space="preserve">Positive values in the following table indicate </w:t>
      </w:r>
      <w:r w:rsidR="003549AD">
        <w:t xml:space="preserve">a </w:t>
      </w:r>
      <w:r w:rsidR="001A66E4">
        <w:t xml:space="preserve">net benefit to customers resulting from the evaluated </w:t>
      </w:r>
      <w:r w:rsidR="00990DB2">
        <w:t>upgrades</w:t>
      </w:r>
      <w:r w:rsidR="001A66E4">
        <w:t>.</w:t>
      </w:r>
      <w:r w:rsidR="00295BEC">
        <w:t xml:space="preserve"> All results demonstrate </w:t>
      </w:r>
      <w:r w:rsidR="003549AD">
        <w:t xml:space="preserve">that </w:t>
      </w:r>
      <w:r w:rsidR="00295BEC">
        <w:t xml:space="preserve">the </w:t>
      </w:r>
      <w:r w:rsidR="003549AD">
        <w:t>upgrades</w:t>
      </w:r>
      <w:r w:rsidR="00295BEC">
        <w:t xml:space="preserve"> are in the best interest of customers. </w:t>
      </w:r>
    </w:p>
    <w:p w14:paraId="35EAE6C6" w14:textId="0498AA65" w:rsidR="001A66E4" w:rsidRDefault="001A66E4" w:rsidP="00625F6B">
      <w:pPr>
        <w:pStyle w:val="Title"/>
      </w:pPr>
      <w:r>
        <w:t xml:space="preserve">Table </w:t>
      </w:r>
      <w:r w:rsidR="004001E4">
        <w:t>7</w:t>
      </w:r>
      <w:r>
        <w:t xml:space="preserve">. Thermal </w:t>
      </w:r>
      <w:r w:rsidR="00DA55EA">
        <w:t>Upgrade</w:t>
      </w:r>
      <w:r>
        <w:t xml:space="preserve"> Cost</w:t>
      </w:r>
      <w:r w:rsidR="00985915">
        <w:t>-</w:t>
      </w:r>
      <w:r>
        <w:t>Benefit Results</w:t>
      </w:r>
    </w:p>
    <w:tbl>
      <w:tblPr>
        <w:tblStyle w:val="GridTable4"/>
        <w:tblW w:w="5757" w:type="dxa"/>
        <w:jc w:val="center"/>
        <w:tblLook w:val="04A0" w:firstRow="1" w:lastRow="0" w:firstColumn="1" w:lastColumn="0" w:noHBand="0" w:noVBand="1"/>
      </w:tblPr>
      <w:tblGrid>
        <w:gridCol w:w="1440"/>
        <w:gridCol w:w="2016"/>
        <w:gridCol w:w="288"/>
        <w:gridCol w:w="2013"/>
      </w:tblGrid>
      <w:tr w:rsidR="009A6564" w:rsidRPr="006F64BD" w14:paraId="3DA3C448" w14:textId="5A7BAE79" w:rsidTr="3EC06282">
        <w:trPr>
          <w:cnfStyle w:val="100000000000" w:firstRow="1" w:lastRow="0" w:firstColumn="0" w:lastColumn="0" w:oddVBand="0" w:evenVBand="0" w:oddHBand="0" w:evenHBand="0" w:firstRowFirstColumn="0" w:firstRowLastColumn="0" w:lastRowFirstColumn="0" w:lastRowLastColumn="0"/>
          <w:trHeight w:val="620"/>
          <w:jc w:val="center"/>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vAlign w:val="center"/>
            <w:hideMark/>
          </w:tcPr>
          <w:p w14:paraId="375E8F6F" w14:textId="1D91DC6B" w:rsidR="009A6564" w:rsidRPr="006F64BD" w:rsidRDefault="009A6564" w:rsidP="00DD5F69">
            <w:pPr>
              <w:pStyle w:val="NoSpacing"/>
              <w:jc w:val="center"/>
              <w:rPr>
                <w:rFonts w:eastAsia="Times New Roman"/>
                <w:b w:val="0"/>
                <w:bCs w:val="0"/>
              </w:rPr>
            </w:pPr>
            <w:r w:rsidRPr="175FF775">
              <w:rPr>
                <w:rFonts w:eastAsia="Times New Roman"/>
              </w:rPr>
              <w:t>2025</w:t>
            </w:r>
            <w:r w:rsidRPr="006F64BD">
              <w:rPr>
                <w:rFonts w:eastAsia="Times New Roman"/>
              </w:rPr>
              <w:t xml:space="preserve"> NPV (M$)</w:t>
            </w:r>
          </w:p>
        </w:tc>
        <w:tc>
          <w:tcPr>
            <w:tcW w:w="2016" w:type="dxa"/>
            <w:tcBorders>
              <w:top w:val="single" w:sz="4" w:space="0" w:color="auto"/>
              <w:left w:val="single" w:sz="4" w:space="0" w:color="auto"/>
              <w:bottom w:val="single" w:sz="4" w:space="0" w:color="auto"/>
              <w:right w:val="single" w:sz="4" w:space="0" w:color="auto"/>
            </w:tcBorders>
            <w:vAlign w:val="center"/>
            <w:hideMark/>
          </w:tcPr>
          <w:p w14:paraId="41B1607A" w14:textId="77777777" w:rsidR="009A6564" w:rsidRPr="006F64BD" w:rsidRDefault="009A6564" w:rsidP="00DD5F69">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6F64BD">
              <w:rPr>
                <w:rFonts w:eastAsia="Times New Roman"/>
              </w:rPr>
              <w:t>Combined Cycles</w:t>
            </w:r>
            <w:r w:rsidRPr="006F64BD">
              <w:rPr>
                <w:rFonts w:eastAsia="Times New Roman"/>
              </w:rPr>
              <w:br/>
              <w:t>(Units 10&amp;11)</w:t>
            </w:r>
          </w:p>
        </w:tc>
        <w:tc>
          <w:tcPr>
            <w:tcW w:w="288" w:type="dxa"/>
            <w:tcBorders>
              <w:top w:val="nil"/>
              <w:left w:val="single" w:sz="4" w:space="0" w:color="auto"/>
              <w:bottom w:val="nil"/>
              <w:right w:val="single" w:sz="4" w:space="0" w:color="auto"/>
            </w:tcBorders>
            <w:shd w:val="clear" w:color="auto" w:fill="FFFFFF" w:themeFill="background1"/>
            <w:vAlign w:val="center"/>
          </w:tcPr>
          <w:p w14:paraId="13B3DDC0" w14:textId="77777777" w:rsidR="009A6564" w:rsidRPr="006F64BD" w:rsidRDefault="009A6564" w:rsidP="00DD5F69">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rPr>
            </w:pPr>
          </w:p>
        </w:tc>
        <w:tc>
          <w:tcPr>
            <w:tcW w:w="2013" w:type="dxa"/>
            <w:tcBorders>
              <w:top w:val="single" w:sz="4" w:space="0" w:color="auto"/>
              <w:left w:val="single" w:sz="4" w:space="0" w:color="auto"/>
              <w:bottom w:val="single" w:sz="4" w:space="0" w:color="auto"/>
              <w:right w:val="single" w:sz="4" w:space="0" w:color="auto"/>
            </w:tcBorders>
            <w:vAlign w:val="center"/>
            <w:hideMark/>
          </w:tcPr>
          <w:p w14:paraId="66129C29" w14:textId="5E1CD8BE" w:rsidR="009A6564" w:rsidRPr="006F64BD" w:rsidRDefault="009A6564" w:rsidP="00DD5F69">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rPr>
            </w:pPr>
            <w:r w:rsidRPr="006F64BD">
              <w:rPr>
                <w:rFonts w:eastAsia="Times New Roman"/>
              </w:rPr>
              <w:t>Simple Cycles (Units 1-8)</w:t>
            </w:r>
            <w:r>
              <w:rPr>
                <w:rStyle w:val="CommentReference"/>
                <w:b w:val="0"/>
                <w:bCs w:val="0"/>
                <w:color w:val="auto"/>
              </w:rPr>
              <w:t xml:space="preserve"> </w:t>
            </w:r>
          </w:p>
          <w:p w14:paraId="4CCF0947" w14:textId="0A1A62E6" w:rsidR="009A6564" w:rsidRPr="006F64BD" w:rsidRDefault="009A6564" w:rsidP="00DD5F69">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sz w:val="16"/>
                <w:szCs w:val="16"/>
              </w:rPr>
            </w:pPr>
            <w:r w:rsidRPr="00DD5F69">
              <w:rPr>
                <w:rFonts w:eastAsia="Times New Roman"/>
                <w:sz w:val="16"/>
                <w:szCs w:val="16"/>
              </w:rPr>
              <w:t>With Incremental Capacity</w:t>
            </w:r>
          </w:p>
        </w:tc>
      </w:tr>
      <w:tr w:rsidR="009A6564" w:rsidRPr="00670AB1" w14:paraId="38389C5E" w14:textId="4C4CF9CB" w:rsidTr="3EC06282">
        <w:tblPrEx>
          <w:jc w:val="left"/>
        </w:tblPrEx>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noWrap/>
            <w:vAlign w:val="center"/>
            <w:hideMark/>
          </w:tcPr>
          <w:p w14:paraId="309D3160" w14:textId="77777777" w:rsidR="009A6564" w:rsidRPr="00670AB1" w:rsidRDefault="009A6564" w:rsidP="00834584">
            <w:pPr>
              <w:pStyle w:val="NoSpacing"/>
              <w:jc w:val="center"/>
              <w:rPr>
                <w:rFonts w:eastAsia="Times New Roman"/>
              </w:rPr>
            </w:pPr>
            <w:r w:rsidRPr="00670AB1">
              <w:rPr>
                <w:rFonts w:eastAsia="Times New Roman"/>
              </w:rPr>
              <w:t>MG0</w:t>
            </w:r>
          </w:p>
        </w:tc>
        <w:tc>
          <w:tcPr>
            <w:tcW w:w="2016" w:type="dxa"/>
            <w:tcBorders>
              <w:top w:val="single" w:sz="4" w:space="0" w:color="auto"/>
              <w:left w:val="single" w:sz="4" w:space="0" w:color="auto"/>
              <w:bottom w:val="single" w:sz="4" w:space="0" w:color="auto"/>
              <w:right w:val="single" w:sz="4" w:space="0" w:color="auto"/>
            </w:tcBorders>
            <w:noWrap/>
            <w:vAlign w:val="center"/>
          </w:tcPr>
          <w:p w14:paraId="197C01A0" w14:textId="5C64A509" w:rsidR="009A6564" w:rsidRPr="00A2650F" w:rsidRDefault="00A2650F" w:rsidP="3EC0628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b/>
                <w:bCs/>
              </w:rPr>
            </w:pPr>
            <w:r w:rsidRPr="00A2650F">
              <w:rPr>
                <w:rFonts w:eastAsia="Times New Roman"/>
                <w:b/>
                <w:bCs/>
              </w:rPr>
              <w:t>REDACTED</w:t>
            </w:r>
          </w:p>
        </w:tc>
        <w:tc>
          <w:tcPr>
            <w:tcW w:w="288" w:type="dxa"/>
            <w:tcBorders>
              <w:top w:val="nil"/>
              <w:left w:val="single" w:sz="4" w:space="0" w:color="auto"/>
              <w:bottom w:val="nil"/>
              <w:right w:val="single" w:sz="4" w:space="0" w:color="auto"/>
            </w:tcBorders>
            <w:shd w:val="clear" w:color="auto" w:fill="FFFFFF" w:themeFill="background1"/>
            <w:vAlign w:val="center"/>
          </w:tcPr>
          <w:p w14:paraId="45AF060E" w14:textId="77777777" w:rsidR="009A6564" w:rsidRPr="008413E6" w:rsidRDefault="009A6564" w:rsidP="00834584">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highlight w:val="yellow"/>
              </w:rPr>
            </w:pPr>
          </w:p>
        </w:tc>
        <w:tc>
          <w:tcPr>
            <w:tcW w:w="2013" w:type="dxa"/>
            <w:tcBorders>
              <w:top w:val="single" w:sz="4" w:space="0" w:color="auto"/>
              <w:left w:val="single" w:sz="4" w:space="0" w:color="auto"/>
              <w:bottom w:val="single" w:sz="4" w:space="0" w:color="auto"/>
              <w:right w:val="single" w:sz="4" w:space="0" w:color="auto"/>
            </w:tcBorders>
            <w:noWrap/>
            <w:vAlign w:val="center"/>
          </w:tcPr>
          <w:p w14:paraId="54B9046E" w14:textId="583D75FB" w:rsidR="70C04A52" w:rsidRDefault="00A2650F" w:rsidP="3EC0628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A2650F">
              <w:rPr>
                <w:rFonts w:eastAsia="Times New Roman"/>
                <w:b/>
                <w:bCs/>
              </w:rPr>
              <w:t>REDACTED</w:t>
            </w:r>
          </w:p>
        </w:tc>
      </w:tr>
      <w:tr w:rsidR="009A6564" w:rsidRPr="00670AB1" w14:paraId="64297A4E" w14:textId="3A809542" w:rsidTr="3EC06282">
        <w:tblPrEx>
          <w:jc w:val="left"/>
        </w:tblPrEx>
        <w:trPr>
          <w:trHeight w:val="42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noWrap/>
            <w:vAlign w:val="center"/>
            <w:hideMark/>
          </w:tcPr>
          <w:p w14:paraId="6ED38E46" w14:textId="77777777" w:rsidR="009A6564" w:rsidRPr="00670AB1" w:rsidRDefault="009A6564" w:rsidP="00834584">
            <w:pPr>
              <w:pStyle w:val="NoSpacing"/>
              <w:jc w:val="center"/>
              <w:rPr>
                <w:rFonts w:eastAsia="Times New Roman"/>
              </w:rPr>
            </w:pPr>
            <w:r w:rsidRPr="00670AB1">
              <w:rPr>
                <w:rFonts w:eastAsia="Times New Roman"/>
              </w:rPr>
              <w:t>HG0</w:t>
            </w:r>
          </w:p>
        </w:tc>
        <w:tc>
          <w:tcPr>
            <w:tcW w:w="2016" w:type="dxa"/>
            <w:tcBorders>
              <w:top w:val="single" w:sz="4" w:space="0" w:color="auto"/>
              <w:left w:val="single" w:sz="4" w:space="0" w:color="auto"/>
              <w:bottom w:val="single" w:sz="4" w:space="0" w:color="auto"/>
              <w:right w:val="single" w:sz="4" w:space="0" w:color="auto"/>
            </w:tcBorders>
            <w:noWrap/>
            <w:vAlign w:val="center"/>
          </w:tcPr>
          <w:p w14:paraId="45060240" w14:textId="07D991E7" w:rsidR="009A6564" w:rsidRPr="008E511B" w:rsidRDefault="00A2650F" w:rsidP="3EC0628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A2650F">
              <w:rPr>
                <w:rFonts w:eastAsia="Times New Roman"/>
                <w:b/>
                <w:bCs/>
              </w:rPr>
              <w:t>REDACTED</w:t>
            </w:r>
          </w:p>
        </w:tc>
        <w:tc>
          <w:tcPr>
            <w:tcW w:w="288" w:type="dxa"/>
            <w:tcBorders>
              <w:top w:val="nil"/>
              <w:left w:val="single" w:sz="4" w:space="0" w:color="auto"/>
              <w:bottom w:val="nil"/>
              <w:right w:val="single" w:sz="4" w:space="0" w:color="auto"/>
            </w:tcBorders>
            <w:shd w:val="clear" w:color="auto" w:fill="FFFFFF" w:themeFill="background1"/>
            <w:vAlign w:val="center"/>
          </w:tcPr>
          <w:p w14:paraId="0DD187E1" w14:textId="77777777" w:rsidR="009A6564" w:rsidRPr="008413E6" w:rsidRDefault="009A6564" w:rsidP="00834584">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highlight w:val="yellow"/>
              </w:rPr>
            </w:pPr>
          </w:p>
        </w:tc>
        <w:tc>
          <w:tcPr>
            <w:tcW w:w="2013" w:type="dxa"/>
            <w:tcBorders>
              <w:top w:val="single" w:sz="4" w:space="0" w:color="auto"/>
              <w:left w:val="single" w:sz="4" w:space="0" w:color="auto"/>
              <w:bottom w:val="single" w:sz="4" w:space="0" w:color="auto"/>
              <w:right w:val="single" w:sz="4" w:space="0" w:color="auto"/>
            </w:tcBorders>
            <w:noWrap/>
            <w:vAlign w:val="center"/>
          </w:tcPr>
          <w:p w14:paraId="63184D24" w14:textId="31C635E1" w:rsidR="02134DE0" w:rsidRDefault="00A2650F" w:rsidP="3EC0628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A2650F">
              <w:rPr>
                <w:rFonts w:eastAsia="Times New Roman"/>
                <w:b/>
                <w:bCs/>
              </w:rPr>
              <w:t>REDACTED</w:t>
            </w:r>
          </w:p>
        </w:tc>
      </w:tr>
      <w:tr w:rsidR="009A6564" w:rsidRPr="00670AB1" w14:paraId="6220B223" w14:textId="51D214A8" w:rsidTr="3EC06282">
        <w:tblPrEx>
          <w:jc w:val="left"/>
        </w:tblPrEx>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noWrap/>
            <w:vAlign w:val="center"/>
            <w:hideMark/>
          </w:tcPr>
          <w:p w14:paraId="2645E89D" w14:textId="77777777" w:rsidR="009A6564" w:rsidRPr="00670AB1" w:rsidRDefault="009A6564" w:rsidP="00834584">
            <w:pPr>
              <w:pStyle w:val="NoSpacing"/>
              <w:jc w:val="center"/>
              <w:rPr>
                <w:rFonts w:eastAsia="Times New Roman"/>
              </w:rPr>
            </w:pPr>
            <w:r w:rsidRPr="00670AB1">
              <w:rPr>
                <w:rFonts w:eastAsia="Times New Roman"/>
              </w:rPr>
              <w:t>LG0</w:t>
            </w:r>
          </w:p>
        </w:tc>
        <w:tc>
          <w:tcPr>
            <w:tcW w:w="2016" w:type="dxa"/>
            <w:tcBorders>
              <w:top w:val="single" w:sz="4" w:space="0" w:color="auto"/>
              <w:left w:val="single" w:sz="4" w:space="0" w:color="auto"/>
              <w:bottom w:val="single" w:sz="4" w:space="0" w:color="auto"/>
              <w:right w:val="single" w:sz="4" w:space="0" w:color="auto"/>
            </w:tcBorders>
            <w:noWrap/>
            <w:vAlign w:val="center"/>
          </w:tcPr>
          <w:p w14:paraId="62F9A68D" w14:textId="7D263859" w:rsidR="009A6564" w:rsidRPr="008E511B" w:rsidRDefault="00A2650F" w:rsidP="3EC0628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A2650F">
              <w:rPr>
                <w:rFonts w:eastAsia="Times New Roman"/>
                <w:b/>
                <w:bCs/>
              </w:rPr>
              <w:t>REDACTED</w:t>
            </w:r>
          </w:p>
        </w:tc>
        <w:tc>
          <w:tcPr>
            <w:tcW w:w="288" w:type="dxa"/>
            <w:tcBorders>
              <w:top w:val="nil"/>
              <w:left w:val="single" w:sz="4" w:space="0" w:color="auto"/>
              <w:bottom w:val="nil"/>
              <w:right w:val="single" w:sz="4" w:space="0" w:color="auto"/>
            </w:tcBorders>
            <w:shd w:val="clear" w:color="auto" w:fill="FFFFFF" w:themeFill="background1"/>
            <w:vAlign w:val="center"/>
          </w:tcPr>
          <w:p w14:paraId="222A2BD8" w14:textId="77777777" w:rsidR="009A6564" w:rsidRPr="008413E6" w:rsidRDefault="009A6564" w:rsidP="00834584">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highlight w:val="yellow"/>
              </w:rPr>
            </w:pPr>
          </w:p>
        </w:tc>
        <w:tc>
          <w:tcPr>
            <w:tcW w:w="2013" w:type="dxa"/>
            <w:tcBorders>
              <w:top w:val="single" w:sz="4" w:space="0" w:color="auto"/>
              <w:left w:val="single" w:sz="4" w:space="0" w:color="auto"/>
              <w:bottom w:val="single" w:sz="4" w:space="0" w:color="auto"/>
              <w:right w:val="single" w:sz="4" w:space="0" w:color="auto"/>
            </w:tcBorders>
            <w:noWrap/>
            <w:vAlign w:val="center"/>
          </w:tcPr>
          <w:p w14:paraId="014B6DA7" w14:textId="34ADDA43" w:rsidR="2899A5A3" w:rsidRDefault="00A2650F" w:rsidP="3EC06282">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A2650F">
              <w:rPr>
                <w:rFonts w:eastAsia="Times New Roman"/>
                <w:b/>
                <w:bCs/>
              </w:rPr>
              <w:t>REDACTED</w:t>
            </w:r>
          </w:p>
        </w:tc>
      </w:tr>
      <w:tr w:rsidR="009A6564" w:rsidRPr="00670AB1" w14:paraId="04474156" w14:textId="3BE97CC3" w:rsidTr="3EC06282">
        <w:tblPrEx>
          <w:jc w:val="left"/>
        </w:tblPrEx>
        <w:trPr>
          <w:trHeight w:val="42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noWrap/>
            <w:vAlign w:val="center"/>
            <w:hideMark/>
          </w:tcPr>
          <w:p w14:paraId="1B5ED1B1" w14:textId="77777777" w:rsidR="009A6564" w:rsidRPr="00670AB1" w:rsidRDefault="009A6564" w:rsidP="00834584">
            <w:pPr>
              <w:pStyle w:val="NoSpacing"/>
              <w:jc w:val="center"/>
              <w:rPr>
                <w:rFonts w:eastAsia="Times New Roman"/>
              </w:rPr>
            </w:pPr>
            <w:r w:rsidRPr="00670AB1">
              <w:rPr>
                <w:rFonts w:eastAsia="Times New Roman"/>
              </w:rPr>
              <w:t>MG20</w:t>
            </w:r>
          </w:p>
        </w:tc>
        <w:tc>
          <w:tcPr>
            <w:tcW w:w="2016" w:type="dxa"/>
            <w:tcBorders>
              <w:top w:val="single" w:sz="4" w:space="0" w:color="auto"/>
              <w:left w:val="single" w:sz="4" w:space="0" w:color="auto"/>
              <w:bottom w:val="single" w:sz="4" w:space="0" w:color="auto"/>
              <w:right w:val="single" w:sz="4" w:space="0" w:color="auto"/>
            </w:tcBorders>
            <w:noWrap/>
            <w:vAlign w:val="center"/>
          </w:tcPr>
          <w:p w14:paraId="1F9F3923" w14:textId="1D4C80E7" w:rsidR="009A6564" w:rsidRPr="008E511B" w:rsidRDefault="00A2650F" w:rsidP="3EC0628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A2650F">
              <w:rPr>
                <w:rFonts w:eastAsia="Times New Roman"/>
                <w:b/>
                <w:bCs/>
              </w:rPr>
              <w:t>REDACTED</w:t>
            </w:r>
          </w:p>
        </w:tc>
        <w:tc>
          <w:tcPr>
            <w:tcW w:w="288" w:type="dxa"/>
            <w:tcBorders>
              <w:top w:val="nil"/>
              <w:left w:val="single" w:sz="4" w:space="0" w:color="auto"/>
              <w:bottom w:val="nil"/>
              <w:right w:val="single" w:sz="4" w:space="0" w:color="auto"/>
            </w:tcBorders>
            <w:shd w:val="clear" w:color="auto" w:fill="FFFFFF" w:themeFill="background1"/>
            <w:vAlign w:val="center"/>
          </w:tcPr>
          <w:p w14:paraId="37B9E584" w14:textId="77777777" w:rsidR="009A6564" w:rsidRPr="008413E6" w:rsidRDefault="009A6564" w:rsidP="00834584">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highlight w:val="yellow"/>
              </w:rPr>
            </w:pPr>
          </w:p>
        </w:tc>
        <w:tc>
          <w:tcPr>
            <w:tcW w:w="2013" w:type="dxa"/>
            <w:tcBorders>
              <w:top w:val="single" w:sz="4" w:space="0" w:color="auto"/>
              <w:left w:val="single" w:sz="4" w:space="0" w:color="auto"/>
              <w:bottom w:val="single" w:sz="4" w:space="0" w:color="auto"/>
              <w:right w:val="single" w:sz="4" w:space="0" w:color="auto"/>
            </w:tcBorders>
            <w:noWrap/>
            <w:vAlign w:val="center"/>
          </w:tcPr>
          <w:p w14:paraId="06219EEE" w14:textId="6D7F6ED3" w:rsidR="4C997BE1" w:rsidRDefault="00A2650F" w:rsidP="3EC06282">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A2650F">
              <w:rPr>
                <w:rFonts w:eastAsia="Times New Roman"/>
                <w:b/>
                <w:bCs/>
              </w:rPr>
              <w:t>REDACTED</w:t>
            </w:r>
          </w:p>
        </w:tc>
      </w:tr>
      <w:tr w:rsidR="009A6564" w:rsidRPr="00670AB1" w14:paraId="161E6786" w14:textId="38410AFF" w:rsidTr="3EC06282">
        <w:tblPrEx>
          <w:jc w:val="left"/>
        </w:tblPrEx>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noWrap/>
            <w:vAlign w:val="center"/>
            <w:hideMark/>
          </w:tcPr>
          <w:p w14:paraId="3CA2372A" w14:textId="77777777" w:rsidR="009A6564" w:rsidRPr="00670AB1" w:rsidRDefault="009A6564" w:rsidP="00834584">
            <w:pPr>
              <w:pStyle w:val="NoSpacing"/>
              <w:jc w:val="center"/>
              <w:rPr>
                <w:rFonts w:eastAsia="Times New Roman"/>
              </w:rPr>
            </w:pPr>
            <w:r w:rsidRPr="00670AB1">
              <w:rPr>
                <w:rFonts w:eastAsia="Times New Roman"/>
              </w:rPr>
              <w:t>MG50</w:t>
            </w:r>
          </w:p>
        </w:tc>
        <w:tc>
          <w:tcPr>
            <w:tcW w:w="2016" w:type="dxa"/>
            <w:tcBorders>
              <w:top w:val="single" w:sz="4" w:space="0" w:color="auto"/>
              <w:left w:val="single" w:sz="4" w:space="0" w:color="auto"/>
              <w:bottom w:val="single" w:sz="4" w:space="0" w:color="auto"/>
              <w:right w:val="single" w:sz="4" w:space="0" w:color="auto"/>
            </w:tcBorders>
            <w:noWrap/>
            <w:vAlign w:val="center"/>
          </w:tcPr>
          <w:p w14:paraId="362B2591" w14:textId="7FB460E6" w:rsidR="009A6564" w:rsidRPr="008E511B" w:rsidRDefault="00A2650F" w:rsidP="3EC0628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A2650F">
              <w:rPr>
                <w:rFonts w:eastAsia="Times New Roman"/>
                <w:b/>
                <w:bCs/>
              </w:rPr>
              <w:t>REDACTED</w:t>
            </w:r>
          </w:p>
        </w:tc>
        <w:tc>
          <w:tcPr>
            <w:tcW w:w="288" w:type="dxa"/>
            <w:tcBorders>
              <w:top w:val="nil"/>
              <w:left w:val="single" w:sz="4" w:space="0" w:color="auto"/>
              <w:bottom w:val="nil"/>
              <w:right w:val="single" w:sz="4" w:space="0" w:color="auto"/>
            </w:tcBorders>
            <w:shd w:val="clear" w:color="auto" w:fill="FFFFFF" w:themeFill="background1"/>
            <w:vAlign w:val="center"/>
          </w:tcPr>
          <w:p w14:paraId="2431729D" w14:textId="77777777" w:rsidR="009A6564" w:rsidRPr="008413E6" w:rsidRDefault="009A6564" w:rsidP="00834584">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highlight w:val="yellow"/>
              </w:rPr>
            </w:pPr>
          </w:p>
        </w:tc>
        <w:tc>
          <w:tcPr>
            <w:tcW w:w="2013" w:type="dxa"/>
            <w:tcBorders>
              <w:top w:val="single" w:sz="4" w:space="0" w:color="auto"/>
              <w:left w:val="single" w:sz="4" w:space="0" w:color="auto"/>
              <w:bottom w:val="single" w:sz="4" w:space="0" w:color="auto"/>
              <w:right w:val="single" w:sz="4" w:space="0" w:color="auto"/>
            </w:tcBorders>
            <w:noWrap/>
            <w:vAlign w:val="center"/>
          </w:tcPr>
          <w:p w14:paraId="03545C42" w14:textId="11E8AAF2" w:rsidR="337CA638" w:rsidRDefault="00A2650F" w:rsidP="3EC06282">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A2650F">
              <w:rPr>
                <w:rFonts w:eastAsia="Times New Roman"/>
                <w:b/>
                <w:bCs/>
              </w:rPr>
              <w:t>REDACTED</w:t>
            </w:r>
          </w:p>
        </w:tc>
      </w:tr>
      <w:tr w:rsidR="009A6564" w:rsidRPr="00670AB1" w14:paraId="3205460A" w14:textId="6FBB94AF" w:rsidTr="3EC06282">
        <w:tblPrEx>
          <w:jc w:val="left"/>
        </w:tblPrEx>
        <w:trPr>
          <w:trHeight w:val="435"/>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noWrap/>
            <w:vAlign w:val="center"/>
            <w:hideMark/>
          </w:tcPr>
          <w:p w14:paraId="277642E4" w14:textId="3F633D3F" w:rsidR="009A6564" w:rsidRPr="00670AB1" w:rsidRDefault="009A6564" w:rsidP="00834584">
            <w:pPr>
              <w:pStyle w:val="NoSpacing"/>
              <w:jc w:val="center"/>
              <w:rPr>
                <w:rFonts w:eastAsia="Times New Roman"/>
              </w:rPr>
            </w:pPr>
            <w:r>
              <w:rPr>
                <w:rFonts w:eastAsia="Times New Roman"/>
              </w:rPr>
              <w:t>111-MG0</w:t>
            </w:r>
          </w:p>
        </w:tc>
        <w:tc>
          <w:tcPr>
            <w:tcW w:w="2016" w:type="dxa"/>
            <w:tcBorders>
              <w:top w:val="single" w:sz="4" w:space="0" w:color="auto"/>
              <w:left w:val="single" w:sz="4" w:space="0" w:color="auto"/>
              <w:bottom w:val="single" w:sz="4" w:space="0" w:color="auto"/>
              <w:right w:val="single" w:sz="4" w:space="0" w:color="auto"/>
            </w:tcBorders>
            <w:noWrap/>
            <w:vAlign w:val="center"/>
          </w:tcPr>
          <w:p w14:paraId="7EF0FC0B" w14:textId="13D57155" w:rsidR="009A6564" w:rsidRPr="008E511B" w:rsidRDefault="00A2650F" w:rsidP="3EC0628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A2650F">
              <w:rPr>
                <w:rFonts w:eastAsia="Times New Roman"/>
                <w:b/>
                <w:bCs/>
              </w:rPr>
              <w:t>REDACTED</w:t>
            </w:r>
          </w:p>
        </w:tc>
        <w:tc>
          <w:tcPr>
            <w:tcW w:w="288" w:type="dxa"/>
            <w:tcBorders>
              <w:top w:val="nil"/>
              <w:left w:val="single" w:sz="4" w:space="0" w:color="auto"/>
              <w:bottom w:val="nil"/>
              <w:right w:val="single" w:sz="4" w:space="0" w:color="auto"/>
            </w:tcBorders>
            <w:shd w:val="clear" w:color="auto" w:fill="FFFFFF" w:themeFill="background1"/>
            <w:vAlign w:val="center"/>
          </w:tcPr>
          <w:p w14:paraId="56DE4DD7" w14:textId="77777777" w:rsidR="009A6564" w:rsidRPr="175FF775" w:rsidRDefault="009A6564" w:rsidP="00834584">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highlight w:val="yellow"/>
              </w:rPr>
            </w:pPr>
          </w:p>
        </w:tc>
        <w:tc>
          <w:tcPr>
            <w:tcW w:w="2013" w:type="dxa"/>
            <w:tcBorders>
              <w:top w:val="single" w:sz="4" w:space="0" w:color="auto"/>
              <w:left w:val="single" w:sz="4" w:space="0" w:color="auto"/>
              <w:bottom w:val="single" w:sz="4" w:space="0" w:color="auto"/>
              <w:right w:val="single" w:sz="4" w:space="0" w:color="auto"/>
            </w:tcBorders>
            <w:noWrap/>
            <w:vAlign w:val="center"/>
          </w:tcPr>
          <w:p w14:paraId="326F4520" w14:textId="782D4D57" w:rsidR="37D7ECA5" w:rsidRDefault="00A2650F" w:rsidP="3EC06282">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A2650F">
              <w:rPr>
                <w:rFonts w:eastAsia="Times New Roman"/>
                <w:b/>
                <w:bCs/>
              </w:rPr>
              <w:t>REDACTED</w:t>
            </w:r>
          </w:p>
        </w:tc>
      </w:tr>
      <w:tr w:rsidR="009A6564" w:rsidRPr="00670AB1" w14:paraId="2934B930" w14:textId="0CEDE768" w:rsidTr="3EC06282">
        <w:tblPrEx>
          <w:jc w:val="left"/>
        </w:tblPrEx>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auto"/>
              <w:left w:val="single" w:sz="4" w:space="0" w:color="auto"/>
              <w:bottom w:val="single" w:sz="4" w:space="0" w:color="auto"/>
              <w:right w:val="single" w:sz="4" w:space="0" w:color="auto"/>
            </w:tcBorders>
            <w:noWrap/>
            <w:vAlign w:val="center"/>
          </w:tcPr>
          <w:p w14:paraId="0F5CB5CB" w14:textId="0056D61B" w:rsidR="009A6564" w:rsidRPr="00670AB1" w:rsidRDefault="009A6564" w:rsidP="00834584">
            <w:pPr>
              <w:pStyle w:val="NoSpacing"/>
              <w:jc w:val="center"/>
              <w:rPr>
                <w:rFonts w:eastAsia="Times New Roman"/>
              </w:rPr>
            </w:pPr>
            <w:r>
              <w:rPr>
                <w:rFonts w:eastAsia="Times New Roman"/>
              </w:rPr>
              <w:t>111-MG50</w:t>
            </w:r>
          </w:p>
        </w:tc>
        <w:tc>
          <w:tcPr>
            <w:tcW w:w="2016" w:type="dxa"/>
            <w:tcBorders>
              <w:top w:val="single" w:sz="4" w:space="0" w:color="auto"/>
              <w:left w:val="single" w:sz="4" w:space="0" w:color="auto"/>
              <w:bottom w:val="single" w:sz="4" w:space="0" w:color="auto"/>
              <w:right w:val="single" w:sz="4" w:space="0" w:color="auto"/>
            </w:tcBorders>
            <w:noWrap/>
            <w:vAlign w:val="center"/>
          </w:tcPr>
          <w:p w14:paraId="72B6DD26" w14:textId="2F23476E" w:rsidR="009A6564" w:rsidRPr="008E511B" w:rsidRDefault="00A2650F" w:rsidP="3EC0628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A2650F">
              <w:rPr>
                <w:rFonts w:eastAsia="Times New Roman"/>
                <w:b/>
                <w:bCs/>
              </w:rPr>
              <w:t>REDACTED</w:t>
            </w:r>
          </w:p>
        </w:tc>
        <w:tc>
          <w:tcPr>
            <w:tcW w:w="288" w:type="dxa"/>
            <w:tcBorders>
              <w:top w:val="nil"/>
              <w:left w:val="single" w:sz="4" w:space="0" w:color="auto"/>
              <w:bottom w:val="nil"/>
              <w:right w:val="single" w:sz="4" w:space="0" w:color="auto"/>
            </w:tcBorders>
            <w:shd w:val="clear" w:color="auto" w:fill="FFFFFF" w:themeFill="background1"/>
            <w:vAlign w:val="center"/>
          </w:tcPr>
          <w:p w14:paraId="7328E42F" w14:textId="77777777" w:rsidR="009A6564" w:rsidRPr="175FF775" w:rsidRDefault="009A6564" w:rsidP="00834584">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highlight w:val="yellow"/>
              </w:rPr>
            </w:pPr>
          </w:p>
        </w:tc>
        <w:tc>
          <w:tcPr>
            <w:tcW w:w="2013" w:type="dxa"/>
            <w:tcBorders>
              <w:top w:val="single" w:sz="4" w:space="0" w:color="auto"/>
              <w:left w:val="single" w:sz="4" w:space="0" w:color="auto"/>
              <w:bottom w:val="single" w:sz="4" w:space="0" w:color="auto"/>
              <w:right w:val="single" w:sz="4" w:space="0" w:color="auto"/>
            </w:tcBorders>
            <w:noWrap/>
            <w:vAlign w:val="center"/>
          </w:tcPr>
          <w:p w14:paraId="36652B1F" w14:textId="7CF54714" w:rsidR="5FC28BBF" w:rsidRDefault="00A2650F" w:rsidP="3EC06282">
            <w:pPr>
              <w:pStyle w:val="NoSpacing"/>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A2650F">
              <w:rPr>
                <w:rFonts w:eastAsia="Times New Roman"/>
                <w:b/>
                <w:bCs/>
              </w:rPr>
              <w:t>REDACTED</w:t>
            </w:r>
          </w:p>
        </w:tc>
      </w:tr>
    </w:tbl>
    <w:p w14:paraId="64FD3FF7" w14:textId="5CC09EFB" w:rsidR="0084097D" w:rsidRDefault="0084097D" w:rsidP="00625F6B"/>
    <w:p w14:paraId="649FE4D0" w14:textId="77777777" w:rsidR="0084097D" w:rsidRDefault="0084097D">
      <w:pPr>
        <w:spacing w:after="160" w:line="259" w:lineRule="auto"/>
        <w:jc w:val="left"/>
      </w:pPr>
      <w:r>
        <w:br w:type="page"/>
      </w:r>
    </w:p>
    <w:p w14:paraId="7E71546C" w14:textId="77777777" w:rsidR="004C1ED8" w:rsidRDefault="004C1ED8" w:rsidP="00625F6B"/>
    <w:p w14:paraId="2F9B8937" w14:textId="77777777" w:rsidR="0084097D" w:rsidRDefault="0084097D" w:rsidP="00625F6B"/>
    <w:p w14:paraId="7DDCA8F8" w14:textId="77777777" w:rsidR="0084097D" w:rsidRDefault="0084097D" w:rsidP="00625F6B"/>
    <w:p w14:paraId="7F936DD6" w14:textId="77777777" w:rsidR="0084097D" w:rsidRDefault="0084097D" w:rsidP="00625F6B"/>
    <w:p w14:paraId="0177EA6B" w14:textId="77777777" w:rsidR="0084097D" w:rsidRDefault="0084097D" w:rsidP="00625F6B"/>
    <w:p w14:paraId="7F01BAFE" w14:textId="77777777" w:rsidR="0084097D" w:rsidRDefault="0084097D" w:rsidP="00625F6B"/>
    <w:p w14:paraId="52D9152C" w14:textId="77777777" w:rsidR="0084097D" w:rsidRDefault="0084097D" w:rsidP="00625F6B"/>
    <w:p w14:paraId="53CEF96E" w14:textId="77777777" w:rsidR="0084097D" w:rsidRDefault="0084097D" w:rsidP="00625F6B"/>
    <w:p w14:paraId="316BF049" w14:textId="77777777" w:rsidR="0084097D" w:rsidRDefault="0084097D" w:rsidP="00625F6B"/>
    <w:p w14:paraId="055D531F" w14:textId="6FF2B0E4" w:rsidR="0084097D" w:rsidRDefault="00AF6FC4" w:rsidP="00AF6FC4">
      <w:pPr>
        <w:jc w:val="center"/>
      </w:pPr>
      <w:r>
        <w:t>[This page is intentionally left blank.]</w:t>
      </w:r>
    </w:p>
    <w:sectPr w:rsidR="0084097D" w:rsidSect="0084097D">
      <w:headerReference w:type="default" r:id="rId9"/>
      <w:footerReference w:type="default" r:id="rId10"/>
      <w:headerReference w:type="first" r:id="rId11"/>
      <w:pgSz w:w="12240" w:h="15840"/>
      <w:pgMar w:top="1296" w:right="1152" w:bottom="1296"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A4157" w14:textId="77777777" w:rsidR="00427C3A" w:rsidRDefault="00427C3A" w:rsidP="00625F6B">
      <w:r>
        <w:separator/>
      </w:r>
    </w:p>
  </w:endnote>
  <w:endnote w:type="continuationSeparator" w:id="0">
    <w:p w14:paraId="6F0FF633" w14:textId="77777777" w:rsidR="00427C3A" w:rsidRDefault="00427C3A" w:rsidP="00625F6B">
      <w:r>
        <w:continuationSeparator/>
      </w:r>
    </w:p>
  </w:endnote>
  <w:endnote w:type="continuationNotice" w:id="1">
    <w:p w14:paraId="049A3A8D" w14:textId="77777777" w:rsidR="00427C3A" w:rsidRDefault="00427C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3934559"/>
      <w:docPartObj>
        <w:docPartGallery w:val="Page Numbers (Bottom of Page)"/>
        <w:docPartUnique/>
      </w:docPartObj>
    </w:sdtPr>
    <w:sdtEndPr>
      <w:rPr>
        <w:color w:val="7F7F7F" w:themeColor="background1" w:themeShade="7F"/>
        <w:spacing w:val="60"/>
      </w:rPr>
    </w:sdtEndPr>
    <w:sdtContent>
      <w:p w14:paraId="05FD2911" w14:textId="6E2F19E7" w:rsidR="006F6FF5" w:rsidRDefault="006F6FF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3D3AB770" w14:textId="77777777" w:rsidR="00472296" w:rsidRDefault="00472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8F1C3" w14:textId="77777777" w:rsidR="00427C3A" w:rsidRDefault="00427C3A" w:rsidP="00625F6B">
      <w:r>
        <w:separator/>
      </w:r>
    </w:p>
  </w:footnote>
  <w:footnote w:type="continuationSeparator" w:id="0">
    <w:p w14:paraId="4B327B2B" w14:textId="77777777" w:rsidR="00427C3A" w:rsidRDefault="00427C3A" w:rsidP="00625F6B">
      <w:r>
        <w:continuationSeparator/>
      </w:r>
    </w:p>
  </w:footnote>
  <w:footnote w:type="continuationNotice" w:id="1">
    <w:p w14:paraId="63AB876A" w14:textId="77777777" w:rsidR="00427C3A" w:rsidRDefault="00427C3A">
      <w:pPr>
        <w:spacing w:after="0" w:line="240" w:lineRule="auto"/>
      </w:pPr>
    </w:p>
  </w:footnote>
  <w:footnote w:id="2">
    <w:p w14:paraId="4FFB8F9D" w14:textId="74B024C2" w:rsidR="00525A4A" w:rsidRDefault="00525A4A">
      <w:pPr>
        <w:pStyle w:val="FootnoteText"/>
      </w:pPr>
      <w:r>
        <w:rPr>
          <w:rStyle w:val="FootnoteReference"/>
        </w:rPr>
        <w:footnoteRef/>
      </w:r>
      <w:r>
        <w:t xml:space="preserve"> Outage year reflects calendar year in which the unit is upgraded during a planned maintenance outage. The years in the columns to the right represent incremental capacity in January of the stated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A591" w14:textId="2A8A1E09" w:rsidR="00625F6B" w:rsidRPr="00CA49EB" w:rsidRDefault="00F71D31" w:rsidP="00F71D31">
    <w:pPr>
      <w:pStyle w:val="Header"/>
      <w:jc w:val="center"/>
      <w:rPr>
        <w:rFonts w:asciiTheme="minorHAnsi" w:hAnsiTheme="minorHAnsi"/>
        <w:b/>
        <w:bCs/>
      </w:rPr>
    </w:pPr>
    <w:r w:rsidRPr="00CA49EB">
      <w:rPr>
        <w:rFonts w:asciiTheme="minorHAnsi" w:hAnsiTheme="minorHAnsi"/>
        <w:b/>
        <w:bCs/>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CE5F2" w14:textId="330B81CB" w:rsidR="0084097D" w:rsidRDefault="0084097D" w:rsidP="0084097D">
    <w:pPr>
      <w:pStyle w:val="Header"/>
      <w:jc w:val="center"/>
    </w:pPr>
    <w:r w:rsidRPr="00CA49EB">
      <w:rPr>
        <w:rFonts w:asciiTheme="minorHAnsi" w:hAnsiTheme="minorHAnsi"/>
        <w:b/>
        <w:bCs/>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972BE1"/>
    <w:multiLevelType w:val="hybridMultilevel"/>
    <w:tmpl w:val="918297A4"/>
    <w:lvl w:ilvl="0" w:tplc="07243FF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1797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710"/>
    <w:rsid w:val="00003F6A"/>
    <w:rsid w:val="00005B8B"/>
    <w:rsid w:val="000069B5"/>
    <w:rsid w:val="00007CCA"/>
    <w:rsid w:val="00010D1B"/>
    <w:rsid w:val="00011CB9"/>
    <w:rsid w:val="0001357E"/>
    <w:rsid w:val="00016A31"/>
    <w:rsid w:val="000216C3"/>
    <w:rsid w:val="000237F9"/>
    <w:rsid w:val="00025601"/>
    <w:rsid w:val="00033159"/>
    <w:rsid w:val="00035E66"/>
    <w:rsid w:val="0004208E"/>
    <w:rsid w:val="00043F10"/>
    <w:rsid w:val="00046995"/>
    <w:rsid w:val="000470A9"/>
    <w:rsid w:val="00056C2C"/>
    <w:rsid w:val="00062660"/>
    <w:rsid w:val="0006404E"/>
    <w:rsid w:val="00064756"/>
    <w:rsid w:val="00067EFD"/>
    <w:rsid w:val="000743B5"/>
    <w:rsid w:val="00076659"/>
    <w:rsid w:val="00081EC7"/>
    <w:rsid w:val="00090350"/>
    <w:rsid w:val="00093792"/>
    <w:rsid w:val="000940B4"/>
    <w:rsid w:val="00096FFE"/>
    <w:rsid w:val="000A02B3"/>
    <w:rsid w:val="000A243D"/>
    <w:rsid w:val="000A4026"/>
    <w:rsid w:val="000B6CC4"/>
    <w:rsid w:val="000C1EE1"/>
    <w:rsid w:val="000D30BE"/>
    <w:rsid w:val="000D44CA"/>
    <w:rsid w:val="000D686F"/>
    <w:rsid w:val="000E431C"/>
    <w:rsid w:val="000E633C"/>
    <w:rsid w:val="000F3789"/>
    <w:rsid w:val="000F4022"/>
    <w:rsid w:val="00104872"/>
    <w:rsid w:val="0010673B"/>
    <w:rsid w:val="00111B0F"/>
    <w:rsid w:val="00114710"/>
    <w:rsid w:val="001165CD"/>
    <w:rsid w:val="00120834"/>
    <w:rsid w:val="00131882"/>
    <w:rsid w:val="00132932"/>
    <w:rsid w:val="00136417"/>
    <w:rsid w:val="00141F4E"/>
    <w:rsid w:val="0016147D"/>
    <w:rsid w:val="001615FD"/>
    <w:rsid w:val="00171149"/>
    <w:rsid w:val="00173EDF"/>
    <w:rsid w:val="001800DD"/>
    <w:rsid w:val="00181A92"/>
    <w:rsid w:val="00183A33"/>
    <w:rsid w:val="0019113A"/>
    <w:rsid w:val="00191991"/>
    <w:rsid w:val="00192151"/>
    <w:rsid w:val="00194E9C"/>
    <w:rsid w:val="001A3DA0"/>
    <w:rsid w:val="001A4DF0"/>
    <w:rsid w:val="001A5E6A"/>
    <w:rsid w:val="001A66E4"/>
    <w:rsid w:val="001B48AF"/>
    <w:rsid w:val="001B65A3"/>
    <w:rsid w:val="001C4633"/>
    <w:rsid w:val="001C77ED"/>
    <w:rsid w:val="001D53F3"/>
    <w:rsid w:val="001D71FD"/>
    <w:rsid w:val="001E4247"/>
    <w:rsid w:val="001F182F"/>
    <w:rsid w:val="001F2664"/>
    <w:rsid w:val="0020043C"/>
    <w:rsid w:val="002032CC"/>
    <w:rsid w:val="00204024"/>
    <w:rsid w:val="00205CBC"/>
    <w:rsid w:val="0020787A"/>
    <w:rsid w:val="00223A75"/>
    <w:rsid w:val="002252AC"/>
    <w:rsid w:val="00225679"/>
    <w:rsid w:val="00230C53"/>
    <w:rsid w:val="002358B8"/>
    <w:rsid w:val="0024190D"/>
    <w:rsid w:val="00242C19"/>
    <w:rsid w:val="00247BBE"/>
    <w:rsid w:val="00250EE6"/>
    <w:rsid w:val="00251174"/>
    <w:rsid w:val="00253025"/>
    <w:rsid w:val="0025753F"/>
    <w:rsid w:val="00257B8E"/>
    <w:rsid w:val="00261587"/>
    <w:rsid w:val="002626B1"/>
    <w:rsid w:val="0027084C"/>
    <w:rsid w:val="0027102F"/>
    <w:rsid w:val="00271B73"/>
    <w:rsid w:val="00272552"/>
    <w:rsid w:val="002815DA"/>
    <w:rsid w:val="0028316A"/>
    <w:rsid w:val="002835C4"/>
    <w:rsid w:val="00292C80"/>
    <w:rsid w:val="00292F17"/>
    <w:rsid w:val="00295BEC"/>
    <w:rsid w:val="002A0C0B"/>
    <w:rsid w:val="002A164B"/>
    <w:rsid w:val="002A3177"/>
    <w:rsid w:val="002A48A2"/>
    <w:rsid w:val="002A6427"/>
    <w:rsid w:val="002A69FA"/>
    <w:rsid w:val="002B069A"/>
    <w:rsid w:val="002B137B"/>
    <w:rsid w:val="002B137F"/>
    <w:rsid w:val="002C314F"/>
    <w:rsid w:val="002D10CE"/>
    <w:rsid w:val="002D6409"/>
    <w:rsid w:val="002E32D9"/>
    <w:rsid w:val="002E3F0A"/>
    <w:rsid w:val="002E3F0B"/>
    <w:rsid w:val="002E7230"/>
    <w:rsid w:val="002F4CEA"/>
    <w:rsid w:val="00302AF6"/>
    <w:rsid w:val="0031145F"/>
    <w:rsid w:val="00315B2E"/>
    <w:rsid w:val="00316CC1"/>
    <w:rsid w:val="00316DB5"/>
    <w:rsid w:val="00320F5D"/>
    <w:rsid w:val="0032113C"/>
    <w:rsid w:val="003321F4"/>
    <w:rsid w:val="003335BE"/>
    <w:rsid w:val="00337193"/>
    <w:rsid w:val="00346EE3"/>
    <w:rsid w:val="0035063D"/>
    <w:rsid w:val="00350A7D"/>
    <w:rsid w:val="003528EA"/>
    <w:rsid w:val="003549AD"/>
    <w:rsid w:val="00354E2F"/>
    <w:rsid w:val="00356F6E"/>
    <w:rsid w:val="00361421"/>
    <w:rsid w:val="003655F9"/>
    <w:rsid w:val="00374AB7"/>
    <w:rsid w:val="00376307"/>
    <w:rsid w:val="00377669"/>
    <w:rsid w:val="00383EF8"/>
    <w:rsid w:val="00385608"/>
    <w:rsid w:val="00385BA4"/>
    <w:rsid w:val="00395AEC"/>
    <w:rsid w:val="003A528D"/>
    <w:rsid w:val="003A5895"/>
    <w:rsid w:val="003B3CFE"/>
    <w:rsid w:val="003B52EB"/>
    <w:rsid w:val="003C41B1"/>
    <w:rsid w:val="003C61D4"/>
    <w:rsid w:val="003C67F2"/>
    <w:rsid w:val="003D05E1"/>
    <w:rsid w:val="003D4F1E"/>
    <w:rsid w:val="003E0332"/>
    <w:rsid w:val="003E0A21"/>
    <w:rsid w:val="003E3CA1"/>
    <w:rsid w:val="003E419E"/>
    <w:rsid w:val="003E6ACD"/>
    <w:rsid w:val="003F0A5F"/>
    <w:rsid w:val="003F1594"/>
    <w:rsid w:val="003F3D75"/>
    <w:rsid w:val="004001E4"/>
    <w:rsid w:val="0040788E"/>
    <w:rsid w:val="00427C3A"/>
    <w:rsid w:val="004308CD"/>
    <w:rsid w:val="004334A6"/>
    <w:rsid w:val="004378D1"/>
    <w:rsid w:val="0044018B"/>
    <w:rsid w:val="004432AA"/>
    <w:rsid w:val="004515CA"/>
    <w:rsid w:val="004524AB"/>
    <w:rsid w:val="004555B9"/>
    <w:rsid w:val="0045693F"/>
    <w:rsid w:val="004649A8"/>
    <w:rsid w:val="00466272"/>
    <w:rsid w:val="00472296"/>
    <w:rsid w:val="0048141C"/>
    <w:rsid w:val="004850F0"/>
    <w:rsid w:val="00485644"/>
    <w:rsid w:val="004908BE"/>
    <w:rsid w:val="004B5B46"/>
    <w:rsid w:val="004C1ED8"/>
    <w:rsid w:val="004C351D"/>
    <w:rsid w:val="004C3FD6"/>
    <w:rsid w:val="004D03F7"/>
    <w:rsid w:val="004D0A96"/>
    <w:rsid w:val="004D4536"/>
    <w:rsid w:val="004D7F5A"/>
    <w:rsid w:val="004E39F0"/>
    <w:rsid w:val="004E4A87"/>
    <w:rsid w:val="004E5708"/>
    <w:rsid w:val="004E5B84"/>
    <w:rsid w:val="004F2061"/>
    <w:rsid w:val="004F245D"/>
    <w:rsid w:val="004F2D89"/>
    <w:rsid w:val="004F5988"/>
    <w:rsid w:val="004F654A"/>
    <w:rsid w:val="004F6C39"/>
    <w:rsid w:val="004F7489"/>
    <w:rsid w:val="004F7E35"/>
    <w:rsid w:val="00500731"/>
    <w:rsid w:val="005225EA"/>
    <w:rsid w:val="0052483D"/>
    <w:rsid w:val="00525A4A"/>
    <w:rsid w:val="00526BAE"/>
    <w:rsid w:val="00526DC3"/>
    <w:rsid w:val="00531F55"/>
    <w:rsid w:val="00542B80"/>
    <w:rsid w:val="00542D3F"/>
    <w:rsid w:val="00544311"/>
    <w:rsid w:val="00545ADD"/>
    <w:rsid w:val="00546DDA"/>
    <w:rsid w:val="005529A8"/>
    <w:rsid w:val="00554E05"/>
    <w:rsid w:val="005619E8"/>
    <w:rsid w:val="0056326D"/>
    <w:rsid w:val="00570B30"/>
    <w:rsid w:val="00575DCF"/>
    <w:rsid w:val="005938EB"/>
    <w:rsid w:val="00593F33"/>
    <w:rsid w:val="0059601A"/>
    <w:rsid w:val="00597235"/>
    <w:rsid w:val="005A0B68"/>
    <w:rsid w:val="005A5667"/>
    <w:rsid w:val="005A6F93"/>
    <w:rsid w:val="005B0CD1"/>
    <w:rsid w:val="005B12AA"/>
    <w:rsid w:val="005B585A"/>
    <w:rsid w:val="005B76AB"/>
    <w:rsid w:val="005D45FF"/>
    <w:rsid w:val="005D684F"/>
    <w:rsid w:val="005E1F0A"/>
    <w:rsid w:val="005E67F8"/>
    <w:rsid w:val="005E7F2B"/>
    <w:rsid w:val="005F23C8"/>
    <w:rsid w:val="005F7980"/>
    <w:rsid w:val="005F7ECD"/>
    <w:rsid w:val="005F7F05"/>
    <w:rsid w:val="00602B6C"/>
    <w:rsid w:val="006036F7"/>
    <w:rsid w:val="006040A1"/>
    <w:rsid w:val="00605899"/>
    <w:rsid w:val="00605D40"/>
    <w:rsid w:val="00610DCC"/>
    <w:rsid w:val="00615A9D"/>
    <w:rsid w:val="006235EF"/>
    <w:rsid w:val="00625F6B"/>
    <w:rsid w:val="0063139F"/>
    <w:rsid w:val="00640633"/>
    <w:rsid w:val="00640E9E"/>
    <w:rsid w:val="00644548"/>
    <w:rsid w:val="00652B6F"/>
    <w:rsid w:val="00654B2D"/>
    <w:rsid w:val="00655754"/>
    <w:rsid w:val="00664141"/>
    <w:rsid w:val="00667378"/>
    <w:rsid w:val="00667880"/>
    <w:rsid w:val="00670AB1"/>
    <w:rsid w:val="00672512"/>
    <w:rsid w:val="00684000"/>
    <w:rsid w:val="00684344"/>
    <w:rsid w:val="006875CF"/>
    <w:rsid w:val="006959FB"/>
    <w:rsid w:val="006A1C21"/>
    <w:rsid w:val="006A37F9"/>
    <w:rsid w:val="006A57DE"/>
    <w:rsid w:val="006A7BC8"/>
    <w:rsid w:val="006B3CAF"/>
    <w:rsid w:val="006C1760"/>
    <w:rsid w:val="006C41CD"/>
    <w:rsid w:val="006D7B3D"/>
    <w:rsid w:val="006E3425"/>
    <w:rsid w:val="006E48DD"/>
    <w:rsid w:val="006F3369"/>
    <w:rsid w:val="006F3AAB"/>
    <w:rsid w:val="006F3D9E"/>
    <w:rsid w:val="006F4FEB"/>
    <w:rsid w:val="006F61B3"/>
    <w:rsid w:val="006F64BD"/>
    <w:rsid w:val="006F6FF5"/>
    <w:rsid w:val="007008D5"/>
    <w:rsid w:val="00702F1C"/>
    <w:rsid w:val="00707676"/>
    <w:rsid w:val="00722E8F"/>
    <w:rsid w:val="00733650"/>
    <w:rsid w:val="007370A8"/>
    <w:rsid w:val="00737487"/>
    <w:rsid w:val="00746DCB"/>
    <w:rsid w:val="00747F03"/>
    <w:rsid w:val="007515BD"/>
    <w:rsid w:val="00757768"/>
    <w:rsid w:val="007601FF"/>
    <w:rsid w:val="00764B0F"/>
    <w:rsid w:val="00764C3B"/>
    <w:rsid w:val="00766A8F"/>
    <w:rsid w:val="00770AB0"/>
    <w:rsid w:val="00770C3E"/>
    <w:rsid w:val="0077799F"/>
    <w:rsid w:val="00792109"/>
    <w:rsid w:val="007A0644"/>
    <w:rsid w:val="007B0E35"/>
    <w:rsid w:val="007B6E8F"/>
    <w:rsid w:val="007C0B94"/>
    <w:rsid w:val="007C19F2"/>
    <w:rsid w:val="007C753E"/>
    <w:rsid w:val="007D3F21"/>
    <w:rsid w:val="007D5209"/>
    <w:rsid w:val="007D60C7"/>
    <w:rsid w:val="007D669C"/>
    <w:rsid w:val="007D6781"/>
    <w:rsid w:val="007D69B3"/>
    <w:rsid w:val="007D73AA"/>
    <w:rsid w:val="007E385C"/>
    <w:rsid w:val="007E5446"/>
    <w:rsid w:val="007E54F4"/>
    <w:rsid w:val="007F0EB5"/>
    <w:rsid w:val="0080105D"/>
    <w:rsid w:val="00802FB7"/>
    <w:rsid w:val="008030BF"/>
    <w:rsid w:val="00813AF1"/>
    <w:rsid w:val="00817302"/>
    <w:rsid w:val="00830CA0"/>
    <w:rsid w:val="00834584"/>
    <w:rsid w:val="0084097D"/>
    <w:rsid w:val="00841331"/>
    <w:rsid w:val="008413E6"/>
    <w:rsid w:val="0084586C"/>
    <w:rsid w:val="00847084"/>
    <w:rsid w:val="008510F4"/>
    <w:rsid w:val="00851994"/>
    <w:rsid w:val="00855680"/>
    <w:rsid w:val="00856A6E"/>
    <w:rsid w:val="008610FD"/>
    <w:rsid w:val="0086111A"/>
    <w:rsid w:val="00861BDF"/>
    <w:rsid w:val="00866F9A"/>
    <w:rsid w:val="00872C30"/>
    <w:rsid w:val="00876886"/>
    <w:rsid w:val="008847F4"/>
    <w:rsid w:val="00887568"/>
    <w:rsid w:val="00896BA8"/>
    <w:rsid w:val="008A758C"/>
    <w:rsid w:val="008B1DBD"/>
    <w:rsid w:val="008B786F"/>
    <w:rsid w:val="008C0E15"/>
    <w:rsid w:val="008C2F1C"/>
    <w:rsid w:val="008C3B9A"/>
    <w:rsid w:val="008C48DC"/>
    <w:rsid w:val="008D41A8"/>
    <w:rsid w:val="008D6302"/>
    <w:rsid w:val="008E06A6"/>
    <w:rsid w:val="008E511B"/>
    <w:rsid w:val="008E5F7F"/>
    <w:rsid w:val="008F3D2B"/>
    <w:rsid w:val="008F467B"/>
    <w:rsid w:val="008F5038"/>
    <w:rsid w:val="00906CE0"/>
    <w:rsid w:val="009108C3"/>
    <w:rsid w:val="00912A45"/>
    <w:rsid w:val="009201A4"/>
    <w:rsid w:val="009231A4"/>
    <w:rsid w:val="00923604"/>
    <w:rsid w:val="00925C37"/>
    <w:rsid w:val="00927AE3"/>
    <w:rsid w:val="00932425"/>
    <w:rsid w:val="0093629C"/>
    <w:rsid w:val="009430F7"/>
    <w:rsid w:val="00945BE3"/>
    <w:rsid w:val="00950BFD"/>
    <w:rsid w:val="009515CA"/>
    <w:rsid w:val="00952373"/>
    <w:rsid w:val="00964B95"/>
    <w:rsid w:val="0097792A"/>
    <w:rsid w:val="00983130"/>
    <w:rsid w:val="00985915"/>
    <w:rsid w:val="00990182"/>
    <w:rsid w:val="00990DB2"/>
    <w:rsid w:val="00997619"/>
    <w:rsid w:val="009A31DF"/>
    <w:rsid w:val="009A4609"/>
    <w:rsid w:val="009A6553"/>
    <w:rsid w:val="009A6564"/>
    <w:rsid w:val="009A7488"/>
    <w:rsid w:val="009B0ED8"/>
    <w:rsid w:val="009B52AC"/>
    <w:rsid w:val="009B5B2C"/>
    <w:rsid w:val="009C2089"/>
    <w:rsid w:val="009C504D"/>
    <w:rsid w:val="009C6069"/>
    <w:rsid w:val="009C7728"/>
    <w:rsid w:val="009D31C5"/>
    <w:rsid w:val="009E049F"/>
    <w:rsid w:val="009E19E9"/>
    <w:rsid w:val="009F1B84"/>
    <w:rsid w:val="009F774F"/>
    <w:rsid w:val="009F7941"/>
    <w:rsid w:val="00A0218D"/>
    <w:rsid w:val="00A05701"/>
    <w:rsid w:val="00A062F8"/>
    <w:rsid w:val="00A13BF0"/>
    <w:rsid w:val="00A142BF"/>
    <w:rsid w:val="00A2650F"/>
    <w:rsid w:val="00A308B6"/>
    <w:rsid w:val="00A35B0B"/>
    <w:rsid w:val="00A42F49"/>
    <w:rsid w:val="00A4579E"/>
    <w:rsid w:val="00A46521"/>
    <w:rsid w:val="00A5162F"/>
    <w:rsid w:val="00A526B8"/>
    <w:rsid w:val="00A617BC"/>
    <w:rsid w:val="00A672FF"/>
    <w:rsid w:val="00A71319"/>
    <w:rsid w:val="00A718BB"/>
    <w:rsid w:val="00A764FC"/>
    <w:rsid w:val="00A827C0"/>
    <w:rsid w:val="00A83684"/>
    <w:rsid w:val="00A85740"/>
    <w:rsid w:val="00A90AF1"/>
    <w:rsid w:val="00A92031"/>
    <w:rsid w:val="00A92AD9"/>
    <w:rsid w:val="00A9605E"/>
    <w:rsid w:val="00AA0AC0"/>
    <w:rsid w:val="00AA0C2B"/>
    <w:rsid w:val="00AA5341"/>
    <w:rsid w:val="00AA5646"/>
    <w:rsid w:val="00AA620B"/>
    <w:rsid w:val="00AB54C6"/>
    <w:rsid w:val="00AB7E37"/>
    <w:rsid w:val="00AC1FBB"/>
    <w:rsid w:val="00AC206F"/>
    <w:rsid w:val="00AC4EB5"/>
    <w:rsid w:val="00AC7040"/>
    <w:rsid w:val="00AD237D"/>
    <w:rsid w:val="00AE24F9"/>
    <w:rsid w:val="00AE4BD0"/>
    <w:rsid w:val="00AE6A8E"/>
    <w:rsid w:val="00AE6C5F"/>
    <w:rsid w:val="00AE6ED2"/>
    <w:rsid w:val="00AF1020"/>
    <w:rsid w:val="00AF2C5F"/>
    <w:rsid w:val="00AF6FC4"/>
    <w:rsid w:val="00B0020F"/>
    <w:rsid w:val="00B026F1"/>
    <w:rsid w:val="00B04BBC"/>
    <w:rsid w:val="00B05972"/>
    <w:rsid w:val="00B0704B"/>
    <w:rsid w:val="00B1437A"/>
    <w:rsid w:val="00B14E9F"/>
    <w:rsid w:val="00B22021"/>
    <w:rsid w:val="00B22440"/>
    <w:rsid w:val="00B31FD5"/>
    <w:rsid w:val="00B325F8"/>
    <w:rsid w:val="00B36753"/>
    <w:rsid w:val="00B37466"/>
    <w:rsid w:val="00B4060B"/>
    <w:rsid w:val="00B440E6"/>
    <w:rsid w:val="00B62676"/>
    <w:rsid w:val="00B631F1"/>
    <w:rsid w:val="00B666B1"/>
    <w:rsid w:val="00B66CCD"/>
    <w:rsid w:val="00B71242"/>
    <w:rsid w:val="00B7194C"/>
    <w:rsid w:val="00B72FAE"/>
    <w:rsid w:val="00B742AE"/>
    <w:rsid w:val="00B74BCD"/>
    <w:rsid w:val="00B758E4"/>
    <w:rsid w:val="00B822C4"/>
    <w:rsid w:val="00B82C19"/>
    <w:rsid w:val="00B87A0A"/>
    <w:rsid w:val="00B9352C"/>
    <w:rsid w:val="00B936BA"/>
    <w:rsid w:val="00B97029"/>
    <w:rsid w:val="00BA3D41"/>
    <w:rsid w:val="00BA46CE"/>
    <w:rsid w:val="00BA4ED9"/>
    <w:rsid w:val="00BB6AEE"/>
    <w:rsid w:val="00BB737D"/>
    <w:rsid w:val="00BB7426"/>
    <w:rsid w:val="00BC09C1"/>
    <w:rsid w:val="00BC3F25"/>
    <w:rsid w:val="00BC5F33"/>
    <w:rsid w:val="00BD562C"/>
    <w:rsid w:val="00BE7B4D"/>
    <w:rsid w:val="00BF01C1"/>
    <w:rsid w:val="00BF378C"/>
    <w:rsid w:val="00BF40B3"/>
    <w:rsid w:val="00BF4D18"/>
    <w:rsid w:val="00BF6265"/>
    <w:rsid w:val="00C07247"/>
    <w:rsid w:val="00C12CEB"/>
    <w:rsid w:val="00C21247"/>
    <w:rsid w:val="00C21F84"/>
    <w:rsid w:val="00C245D7"/>
    <w:rsid w:val="00C312C0"/>
    <w:rsid w:val="00C319E8"/>
    <w:rsid w:val="00C3323A"/>
    <w:rsid w:val="00C33A8D"/>
    <w:rsid w:val="00C409A5"/>
    <w:rsid w:val="00C4622B"/>
    <w:rsid w:val="00C5507D"/>
    <w:rsid w:val="00C5783A"/>
    <w:rsid w:val="00C64780"/>
    <w:rsid w:val="00C67A6B"/>
    <w:rsid w:val="00C71C00"/>
    <w:rsid w:val="00C74918"/>
    <w:rsid w:val="00C756B2"/>
    <w:rsid w:val="00C835F6"/>
    <w:rsid w:val="00C93123"/>
    <w:rsid w:val="00C93CA0"/>
    <w:rsid w:val="00C95DE4"/>
    <w:rsid w:val="00C979D0"/>
    <w:rsid w:val="00CA49EB"/>
    <w:rsid w:val="00CA7CE4"/>
    <w:rsid w:val="00CB2259"/>
    <w:rsid w:val="00CB3488"/>
    <w:rsid w:val="00CB5DF4"/>
    <w:rsid w:val="00CB7A4B"/>
    <w:rsid w:val="00CC0C49"/>
    <w:rsid w:val="00CC1071"/>
    <w:rsid w:val="00CC4D30"/>
    <w:rsid w:val="00CC6168"/>
    <w:rsid w:val="00CC7F12"/>
    <w:rsid w:val="00CD1D98"/>
    <w:rsid w:val="00CD264D"/>
    <w:rsid w:val="00CD453D"/>
    <w:rsid w:val="00CF0352"/>
    <w:rsid w:val="00CF28CF"/>
    <w:rsid w:val="00CF39B2"/>
    <w:rsid w:val="00CF3F49"/>
    <w:rsid w:val="00CF56C4"/>
    <w:rsid w:val="00CF580A"/>
    <w:rsid w:val="00CF6771"/>
    <w:rsid w:val="00D279F8"/>
    <w:rsid w:val="00D37248"/>
    <w:rsid w:val="00D37504"/>
    <w:rsid w:val="00D40776"/>
    <w:rsid w:val="00D47F60"/>
    <w:rsid w:val="00D500A3"/>
    <w:rsid w:val="00D52116"/>
    <w:rsid w:val="00D55FB3"/>
    <w:rsid w:val="00D563A7"/>
    <w:rsid w:val="00D61FA1"/>
    <w:rsid w:val="00D6237B"/>
    <w:rsid w:val="00D72663"/>
    <w:rsid w:val="00D730A3"/>
    <w:rsid w:val="00D743BF"/>
    <w:rsid w:val="00D7753E"/>
    <w:rsid w:val="00D80545"/>
    <w:rsid w:val="00D83614"/>
    <w:rsid w:val="00D87C98"/>
    <w:rsid w:val="00D92296"/>
    <w:rsid w:val="00D96282"/>
    <w:rsid w:val="00DA1C6C"/>
    <w:rsid w:val="00DA21EE"/>
    <w:rsid w:val="00DA37F0"/>
    <w:rsid w:val="00DA4E01"/>
    <w:rsid w:val="00DA55EA"/>
    <w:rsid w:val="00DA6020"/>
    <w:rsid w:val="00DC032D"/>
    <w:rsid w:val="00DD0978"/>
    <w:rsid w:val="00DD1377"/>
    <w:rsid w:val="00DD372B"/>
    <w:rsid w:val="00DD5F69"/>
    <w:rsid w:val="00DE0BEE"/>
    <w:rsid w:val="00DE5EA7"/>
    <w:rsid w:val="00DE7A66"/>
    <w:rsid w:val="00DE7C9D"/>
    <w:rsid w:val="00DF3F42"/>
    <w:rsid w:val="00DF61ED"/>
    <w:rsid w:val="00DF7200"/>
    <w:rsid w:val="00E023AD"/>
    <w:rsid w:val="00E05255"/>
    <w:rsid w:val="00E06075"/>
    <w:rsid w:val="00E12CEB"/>
    <w:rsid w:val="00E20480"/>
    <w:rsid w:val="00E25AF9"/>
    <w:rsid w:val="00E25D10"/>
    <w:rsid w:val="00E31FA8"/>
    <w:rsid w:val="00E334D0"/>
    <w:rsid w:val="00E33974"/>
    <w:rsid w:val="00E34373"/>
    <w:rsid w:val="00E36AB2"/>
    <w:rsid w:val="00E37E58"/>
    <w:rsid w:val="00E44670"/>
    <w:rsid w:val="00E54FF8"/>
    <w:rsid w:val="00E74C17"/>
    <w:rsid w:val="00E80BD7"/>
    <w:rsid w:val="00E8184D"/>
    <w:rsid w:val="00E836B5"/>
    <w:rsid w:val="00E8506F"/>
    <w:rsid w:val="00E9048E"/>
    <w:rsid w:val="00E92C05"/>
    <w:rsid w:val="00E93D34"/>
    <w:rsid w:val="00E9646F"/>
    <w:rsid w:val="00E969AB"/>
    <w:rsid w:val="00E96A5C"/>
    <w:rsid w:val="00EA6EE1"/>
    <w:rsid w:val="00EB71CC"/>
    <w:rsid w:val="00EB7C04"/>
    <w:rsid w:val="00EC2CBF"/>
    <w:rsid w:val="00EC5937"/>
    <w:rsid w:val="00ED2D19"/>
    <w:rsid w:val="00ED3A73"/>
    <w:rsid w:val="00ED43B2"/>
    <w:rsid w:val="00ED64C5"/>
    <w:rsid w:val="00EF5CBB"/>
    <w:rsid w:val="00F04FCB"/>
    <w:rsid w:val="00F12982"/>
    <w:rsid w:val="00F178DA"/>
    <w:rsid w:val="00F2397C"/>
    <w:rsid w:val="00F2424D"/>
    <w:rsid w:val="00F2518E"/>
    <w:rsid w:val="00F26A31"/>
    <w:rsid w:val="00F339E3"/>
    <w:rsid w:val="00F35A1D"/>
    <w:rsid w:val="00F370D1"/>
    <w:rsid w:val="00F40726"/>
    <w:rsid w:val="00F40AF2"/>
    <w:rsid w:val="00F41A44"/>
    <w:rsid w:val="00F4259B"/>
    <w:rsid w:val="00F50F60"/>
    <w:rsid w:val="00F52F36"/>
    <w:rsid w:val="00F554E6"/>
    <w:rsid w:val="00F561E5"/>
    <w:rsid w:val="00F5676E"/>
    <w:rsid w:val="00F57FB8"/>
    <w:rsid w:val="00F655A8"/>
    <w:rsid w:val="00F66CA1"/>
    <w:rsid w:val="00F71D31"/>
    <w:rsid w:val="00F750FC"/>
    <w:rsid w:val="00F77704"/>
    <w:rsid w:val="00F82216"/>
    <w:rsid w:val="00F825C0"/>
    <w:rsid w:val="00F86562"/>
    <w:rsid w:val="00F92086"/>
    <w:rsid w:val="00F95355"/>
    <w:rsid w:val="00FA009A"/>
    <w:rsid w:val="00FA3375"/>
    <w:rsid w:val="00FA4C7E"/>
    <w:rsid w:val="00FA644E"/>
    <w:rsid w:val="00FB00FF"/>
    <w:rsid w:val="00FB14AE"/>
    <w:rsid w:val="00FB1794"/>
    <w:rsid w:val="00FC01CA"/>
    <w:rsid w:val="00FC0779"/>
    <w:rsid w:val="00FC421D"/>
    <w:rsid w:val="00FD1029"/>
    <w:rsid w:val="00FD2A3A"/>
    <w:rsid w:val="00FD5EF2"/>
    <w:rsid w:val="00FD5FCC"/>
    <w:rsid w:val="00FD63ED"/>
    <w:rsid w:val="00FE2F92"/>
    <w:rsid w:val="00FE4924"/>
    <w:rsid w:val="00FE594C"/>
    <w:rsid w:val="00FF22CB"/>
    <w:rsid w:val="00FF750C"/>
    <w:rsid w:val="020A4B3C"/>
    <w:rsid w:val="02134DE0"/>
    <w:rsid w:val="04D3C28C"/>
    <w:rsid w:val="062A8B91"/>
    <w:rsid w:val="06B2A6DA"/>
    <w:rsid w:val="0725EFD8"/>
    <w:rsid w:val="072ECC59"/>
    <w:rsid w:val="0749A719"/>
    <w:rsid w:val="082D1CE7"/>
    <w:rsid w:val="086C7325"/>
    <w:rsid w:val="08FBA77F"/>
    <w:rsid w:val="08FBD1BC"/>
    <w:rsid w:val="0A32414C"/>
    <w:rsid w:val="0A449633"/>
    <w:rsid w:val="0A912D88"/>
    <w:rsid w:val="0BA8D84B"/>
    <w:rsid w:val="0C35F392"/>
    <w:rsid w:val="0D07DF99"/>
    <w:rsid w:val="0D6229E4"/>
    <w:rsid w:val="0D8C6993"/>
    <w:rsid w:val="0D9E55B0"/>
    <w:rsid w:val="0FF8E615"/>
    <w:rsid w:val="102FE0D3"/>
    <w:rsid w:val="10C650BC"/>
    <w:rsid w:val="112ACC4A"/>
    <w:rsid w:val="112DC646"/>
    <w:rsid w:val="119FA246"/>
    <w:rsid w:val="136BEABA"/>
    <w:rsid w:val="13AE5005"/>
    <w:rsid w:val="14BF9CE6"/>
    <w:rsid w:val="14DDCCA9"/>
    <w:rsid w:val="15F5ACB8"/>
    <w:rsid w:val="175FF775"/>
    <w:rsid w:val="17C3EAD1"/>
    <w:rsid w:val="17D20897"/>
    <w:rsid w:val="18A1850C"/>
    <w:rsid w:val="1BBED4C4"/>
    <w:rsid w:val="1CBB315B"/>
    <w:rsid w:val="1D8F3B0E"/>
    <w:rsid w:val="1EDAF9BF"/>
    <w:rsid w:val="1FEF70B6"/>
    <w:rsid w:val="203D9B4A"/>
    <w:rsid w:val="20EC179E"/>
    <w:rsid w:val="21B25777"/>
    <w:rsid w:val="223060DA"/>
    <w:rsid w:val="237BE03C"/>
    <w:rsid w:val="23B5AC6B"/>
    <w:rsid w:val="252846A6"/>
    <w:rsid w:val="25FC1D2D"/>
    <w:rsid w:val="264528B0"/>
    <w:rsid w:val="26C8D68E"/>
    <w:rsid w:val="27436838"/>
    <w:rsid w:val="27615594"/>
    <w:rsid w:val="27E473A9"/>
    <w:rsid w:val="2899A5A3"/>
    <w:rsid w:val="28C9BB16"/>
    <w:rsid w:val="2980229E"/>
    <w:rsid w:val="298E1BBF"/>
    <w:rsid w:val="2BC904BD"/>
    <w:rsid w:val="2C5EECFD"/>
    <w:rsid w:val="2D3C443D"/>
    <w:rsid w:val="2DC41913"/>
    <w:rsid w:val="2FB4F66A"/>
    <w:rsid w:val="2FB89C0A"/>
    <w:rsid w:val="30142ED3"/>
    <w:rsid w:val="30EB30AD"/>
    <w:rsid w:val="30F5CBF1"/>
    <w:rsid w:val="31B6E369"/>
    <w:rsid w:val="31CE3F17"/>
    <w:rsid w:val="32015A43"/>
    <w:rsid w:val="323B105B"/>
    <w:rsid w:val="337CA638"/>
    <w:rsid w:val="339367E3"/>
    <w:rsid w:val="34C96512"/>
    <w:rsid w:val="34F1FAC2"/>
    <w:rsid w:val="355E3EED"/>
    <w:rsid w:val="37342D4F"/>
    <w:rsid w:val="37D7ECA5"/>
    <w:rsid w:val="381A7DDD"/>
    <w:rsid w:val="383EB907"/>
    <w:rsid w:val="388868BF"/>
    <w:rsid w:val="38E7287A"/>
    <w:rsid w:val="3A56C880"/>
    <w:rsid w:val="3A77C43D"/>
    <w:rsid w:val="3A85FCA0"/>
    <w:rsid w:val="3B1F8334"/>
    <w:rsid w:val="3CB9272D"/>
    <w:rsid w:val="3CF5B34A"/>
    <w:rsid w:val="3DAF826F"/>
    <w:rsid w:val="3DF124E5"/>
    <w:rsid w:val="3E06FDC2"/>
    <w:rsid w:val="3EC06282"/>
    <w:rsid w:val="3F1C53B1"/>
    <w:rsid w:val="3F24ED3B"/>
    <w:rsid w:val="3F6DA286"/>
    <w:rsid w:val="3FAD0894"/>
    <w:rsid w:val="4004A626"/>
    <w:rsid w:val="40A116C3"/>
    <w:rsid w:val="43124CD3"/>
    <w:rsid w:val="433CF5A7"/>
    <w:rsid w:val="43C09632"/>
    <w:rsid w:val="43EC47F5"/>
    <w:rsid w:val="441A6806"/>
    <w:rsid w:val="452E2C3B"/>
    <w:rsid w:val="458C9E2D"/>
    <w:rsid w:val="45B5EDA6"/>
    <w:rsid w:val="471C4EE3"/>
    <w:rsid w:val="47CA20CD"/>
    <w:rsid w:val="4859F29E"/>
    <w:rsid w:val="49115420"/>
    <w:rsid w:val="49A7687D"/>
    <w:rsid w:val="4A31377D"/>
    <w:rsid w:val="4A7D4313"/>
    <w:rsid w:val="4AA0B6D6"/>
    <w:rsid w:val="4BE2FC55"/>
    <w:rsid w:val="4C7C0AD6"/>
    <w:rsid w:val="4C997BE1"/>
    <w:rsid w:val="4CCE66D9"/>
    <w:rsid w:val="4D4FD7A0"/>
    <w:rsid w:val="4D80BF78"/>
    <w:rsid w:val="4D88E194"/>
    <w:rsid w:val="4D943D18"/>
    <w:rsid w:val="4E45884A"/>
    <w:rsid w:val="50071F9C"/>
    <w:rsid w:val="5027FA75"/>
    <w:rsid w:val="502EE677"/>
    <w:rsid w:val="50899DB4"/>
    <w:rsid w:val="50AF54F0"/>
    <w:rsid w:val="5108D1FA"/>
    <w:rsid w:val="5184853A"/>
    <w:rsid w:val="52B3FA56"/>
    <w:rsid w:val="5351F4CE"/>
    <w:rsid w:val="53765B76"/>
    <w:rsid w:val="53D3B2A8"/>
    <w:rsid w:val="5522FB76"/>
    <w:rsid w:val="5778F180"/>
    <w:rsid w:val="58211234"/>
    <w:rsid w:val="59D5F32D"/>
    <w:rsid w:val="5A6BC4E3"/>
    <w:rsid w:val="5AB5C62D"/>
    <w:rsid w:val="5AEB3598"/>
    <w:rsid w:val="5AF1DA18"/>
    <w:rsid w:val="5B155E7C"/>
    <w:rsid w:val="5B78AFF9"/>
    <w:rsid w:val="5BF1C651"/>
    <w:rsid w:val="5C45A71C"/>
    <w:rsid w:val="5CE19AEB"/>
    <w:rsid w:val="5D2D1B3D"/>
    <w:rsid w:val="5E1B9F3A"/>
    <w:rsid w:val="5E3B83CD"/>
    <w:rsid w:val="5EE6CFD5"/>
    <w:rsid w:val="5EEF07E2"/>
    <w:rsid w:val="5F8BB6DF"/>
    <w:rsid w:val="5F98A94C"/>
    <w:rsid w:val="5FBB40F7"/>
    <w:rsid w:val="5FC28BBF"/>
    <w:rsid w:val="606CB391"/>
    <w:rsid w:val="614A72BB"/>
    <w:rsid w:val="61528388"/>
    <w:rsid w:val="629C1B15"/>
    <w:rsid w:val="638C64D5"/>
    <w:rsid w:val="6399EB53"/>
    <w:rsid w:val="64138D5A"/>
    <w:rsid w:val="64C79937"/>
    <w:rsid w:val="64E0F8EB"/>
    <w:rsid w:val="681027C9"/>
    <w:rsid w:val="6820FF5C"/>
    <w:rsid w:val="6AF1B961"/>
    <w:rsid w:val="6B8B63B1"/>
    <w:rsid w:val="6C1CF665"/>
    <w:rsid w:val="6D768FA3"/>
    <w:rsid w:val="6DD39C5B"/>
    <w:rsid w:val="6E0C678B"/>
    <w:rsid w:val="6E21872F"/>
    <w:rsid w:val="6EE082E8"/>
    <w:rsid w:val="70995828"/>
    <w:rsid w:val="70C04A52"/>
    <w:rsid w:val="71BA2A0E"/>
    <w:rsid w:val="726D5A7A"/>
    <w:rsid w:val="739B7FD8"/>
    <w:rsid w:val="747842B8"/>
    <w:rsid w:val="760C778E"/>
    <w:rsid w:val="7796246D"/>
    <w:rsid w:val="7884FB35"/>
    <w:rsid w:val="789C6B06"/>
    <w:rsid w:val="7950E529"/>
    <w:rsid w:val="79A62A99"/>
    <w:rsid w:val="7A353818"/>
    <w:rsid w:val="7D43A403"/>
    <w:rsid w:val="7E0F4ED8"/>
    <w:rsid w:val="7E59F4C1"/>
    <w:rsid w:val="7FCB9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DC73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F6B"/>
    <w:pPr>
      <w:spacing w:after="240" w:line="360" w:lineRule="auto"/>
      <w:jc w:val="both"/>
    </w:pPr>
    <w:rPr>
      <w:rFonts w:ascii="Aptos" w:eastAsiaTheme="minorEastAsia" w:hAnsi="Aptos" w:cstheme="minorHAnsi"/>
      <w:kern w:val="0"/>
      <w14:ligatures w14:val="none"/>
    </w:rPr>
  </w:style>
  <w:style w:type="paragraph" w:styleId="Heading1">
    <w:name w:val="heading 1"/>
    <w:basedOn w:val="ListParagraph"/>
    <w:next w:val="Normal"/>
    <w:link w:val="Heading1Char"/>
    <w:uiPriority w:val="99"/>
    <w:qFormat/>
    <w:rsid w:val="00625F6B"/>
    <w:pPr>
      <w:keepNext/>
      <w:keepLines/>
      <w:numPr>
        <w:numId w:val="1"/>
      </w:numPr>
      <w:tabs>
        <w:tab w:val="num" w:pos="72"/>
        <w:tab w:val="left" w:pos="2700"/>
      </w:tabs>
      <w:spacing w:after="0" w:line="480" w:lineRule="auto"/>
      <w:ind w:left="648" w:hanging="648"/>
      <w:contextualSpacing w:val="0"/>
      <w:outlineLvl w:val="0"/>
    </w:pPr>
    <w:rPr>
      <w:rFonts w:eastAsia="Calibri"/>
      <w:b/>
      <w:color w:val="156082" w:themeColor="accent1"/>
      <w:sz w:val="28"/>
      <w:szCs w:val="28"/>
    </w:rPr>
  </w:style>
  <w:style w:type="paragraph" w:styleId="Heading2">
    <w:name w:val="heading 2"/>
    <w:basedOn w:val="Normal"/>
    <w:next w:val="Normal"/>
    <w:link w:val="Heading2Char"/>
    <w:uiPriority w:val="99"/>
    <w:unhideWhenUsed/>
    <w:qFormat/>
    <w:rsid w:val="00625F6B"/>
    <w:pPr>
      <w:keepNext/>
      <w:tabs>
        <w:tab w:val="num" w:pos="360"/>
      </w:tabs>
      <w:spacing w:after="120"/>
      <w:outlineLvl w:val="1"/>
    </w:pPr>
    <w:rPr>
      <w:rFonts w:eastAsia="Calibri"/>
      <w:bCs/>
      <w:color w:val="156082" w:themeColor="accent1"/>
      <w:sz w:val="24"/>
      <w:szCs w:val="24"/>
    </w:rPr>
  </w:style>
  <w:style w:type="paragraph" w:styleId="Heading3">
    <w:name w:val="heading 3"/>
    <w:basedOn w:val="Normal"/>
    <w:next w:val="Normal"/>
    <w:link w:val="Heading3Char"/>
    <w:uiPriority w:val="9"/>
    <w:unhideWhenUsed/>
    <w:qFormat/>
    <w:rsid w:val="001147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147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47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47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47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47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47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25F6B"/>
    <w:rPr>
      <w:rFonts w:ascii="Aptos" w:eastAsia="Calibri" w:hAnsi="Aptos" w:cstheme="minorHAnsi"/>
      <w:b/>
      <w:color w:val="156082" w:themeColor="accent1"/>
      <w:kern w:val="0"/>
      <w:sz w:val="28"/>
      <w:szCs w:val="28"/>
      <w14:ligatures w14:val="none"/>
    </w:rPr>
  </w:style>
  <w:style w:type="character" w:customStyle="1" w:styleId="Heading2Char">
    <w:name w:val="Heading 2 Char"/>
    <w:basedOn w:val="DefaultParagraphFont"/>
    <w:link w:val="Heading2"/>
    <w:uiPriority w:val="99"/>
    <w:rsid w:val="00625F6B"/>
    <w:rPr>
      <w:rFonts w:ascii="Aptos" w:eastAsia="Calibri" w:hAnsi="Aptos" w:cstheme="minorHAnsi"/>
      <w:bCs/>
      <w:color w:val="156082" w:themeColor="accent1"/>
      <w:kern w:val="0"/>
      <w:sz w:val="24"/>
      <w:szCs w:val="24"/>
      <w14:ligatures w14:val="none"/>
    </w:rPr>
  </w:style>
  <w:style w:type="character" w:customStyle="1" w:styleId="Heading3Char">
    <w:name w:val="Heading 3 Char"/>
    <w:basedOn w:val="DefaultParagraphFont"/>
    <w:link w:val="Heading3"/>
    <w:uiPriority w:val="9"/>
    <w:rsid w:val="001147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147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47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47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47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47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4710"/>
    <w:rPr>
      <w:rFonts w:eastAsiaTheme="majorEastAsia" w:cstheme="majorBidi"/>
      <w:color w:val="272727" w:themeColor="text1" w:themeTint="D8"/>
    </w:rPr>
  </w:style>
  <w:style w:type="paragraph" w:styleId="Title">
    <w:name w:val="Title"/>
    <w:basedOn w:val="Caption"/>
    <w:next w:val="Normal"/>
    <w:link w:val="TitleChar"/>
    <w:uiPriority w:val="10"/>
    <w:qFormat/>
    <w:rsid w:val="00625F6B"/>
    <w:pPr>
      <w:keepNext/>
      <w:jc w:val="center"/>
    </w:pPr>
    <w:rPr>
      <w:rFonts w:ascii="Aptos" w:hAnsi="Aptos" w:cstheme="minorHAnsi"/>
      <w:color w:val="156082" w:themeColor="accent1"/>
    </w:rPr>
  </w:style>
  <w:style w:type="character" w:customStyle="1" w:styleId="TitleChar">
    <w:name w:val="Title Char"/>
    <w:basedOn w:val="DefaultParagraphFont"/>
    <w:link w:val="Title"/>
    <w:uiPriority w:val="10"/>
    <w:rsid w:val="00625F6B"/>
    <w:rPr>
      <w:rFonts w:ascii="Aptos" w:hAnsi="Aptos" w:cstheme="minorHAnsi"/>
      <w:i/>
      <w:iCs/>
      <w:color w:val="156082" w:themeColor="accent1"/>
      <w:kern w:val="0"/>
      <w:sz w:val="18"/>
      <w:szCs w:val="18"/>
      <w14:ligatures w14:val="none"/>
    </w:rPr>
  </w:style>
  <w:style w:type="paragraph" w:styleId="Subtitle">
    <w:name w:val="Subtitle"/>
    <w:basedOn w:val="Normal"/>
    <w:next w:val="Normal"/>
    <w:link w:val="SubtitleChar"/>
    <w:uiPriority w:val="11"/>
    <w:qFormat/>
    <w:rsid w:val="001147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47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4710"/>
    <w:pPr>
      <w:spacing w:before="160"/>
      <w:jc w:val="center"/>
    </w:pPr>
    <w:rPr>
      <w:i/>
      <w:iCs/>
      <w:color w:val="404040" w:themeColor="text1" w:themeTint="BF"/>
    </w:rPr>
  </w:style>
  <w:style w:type="character" w:customStyle="1" w:styleId="QuoteChar">
    <w:name w:val="Quote Char"/>
    <w:basedOn w:val="DefaultParagraphFont"/>
    <w:link w:val="Quote"/>
    <w:uiPriority w:val="29"/>
    <w:rsid w:val="00114710"/>
    <w:rPr>
      <w:i/>
      <w:iCs/>
      <w:color w:val="404040" w:themeColor="text1" w:themeTint="BF"/>
    </w:rPr>
  </w:style>
  <w:style w:type="paragraph" w:styleId="ListParagraph">
    <w:name w:val="List Paragraph"/>
    <w:basedOn w:val="Normal"/>
    <w:uiPriority w:val="34"/>
    <w:qFormat/>
    <w:rsid w:val="00114710"/>
    <w:pPr>
      <w:ind w:left="720"/>
      <w:contextualSpacing/>
    </w:pPr>
  </w:style>
  <w:style w:type="character" w:styleId="IntenseEmphasis">
    <w:name w:val="Intense Emphasis"/>
    <w:basedOn w:val="DefaultParagraphFont"/>
    <w:uiPriority w:val="21"/>
    <w:qFormat/>
    <w:rsid w:val="00114710"/>
    <w:rPr>
      <w:i/>
      <w:iCs/>
      <w:color w:val="0F4761" w:themeColor="accent1" w:themeShade="BF"/>
    </w:rPr>
  </w:style>
  <w:style w:type="paragraph" w:styleId="IntenseQuote">
    <w:name w:val="Intense Quote"/>
    <w:basedOn w:val="Normal"/>
    <w:next w:val="Normal"/>
    <w:link w:val="IntenseQuoteChar"/>
    <w:uiPriority w:val="30"/>
    <w:qFormat/>
    <w:rsid w:val="001147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4710"/>
    <w:rPr>
      <w:i/>
      <w:iCs/>
      <w:color w:val="0F4761" w:themeColor="accent1" w:themeShade="BF"/>
    </w:rPr>
  </w:style>
  <w:style w:type="character" w:styleId="IntenseReference">
    <w:name w:val="Intense Reference"/>
    <w:basedOn w:val="DefaultParagraphFont"/>
    <w:uiPriority w:val="32"/>
    <w:qFormat/>
    <w:rsid w:val="00114710"/>
    <w:rPr>
      <w:b/>
      <w:bCs/>
      <w:smallCaps/>
      <w:color w:val="0F4761" w:themeColor="accent1" w:themeShade="BF"/>
      <w:spacing w:val="5"/>
    </w:rPr>
  </w:style>
  <w:style w:type="character" w:styleId="CommentReference">
    <w:name w:val="annotation reference"/>
    <w:basedOn w:val="DefaultParagraphFont"/>
    <w:uiPriority w:val="99"/>
    <w:semiHidden/>
    <w:unhideWhenUsed/>
    <w:rsid w:val="007E385C"/>
    <w:rPr>
      <w:sz w:val="16"/>
      <w:szCs w:val="16"/>
    </w:rPr>
  </w:style>
  <w:style w:type="paragraph" w:styleId="CommentText">
    <w:name w:val="annotation text"/>
    <w:basedOn w:val="Normal"/>
    <w:link w:val="CommentTextChar"/>
    <w:uiPriority w:val="99"/>
    <w:unhideWhenUsed/>
    <w:rsid w:val="007E385C"/>
    <w:pPr>
      <w:spacing w:line="240" w:lineRule="auto"/>
    </w:pPr>
    <w:rPr>
      <w:sz w:val="20"/>
      <w:szCs w:val="20"/>
    </w:rPr>
  </w:style>
  <w:style w:type="character" w:customStyle="1" w:styleId="CommentTextChar">
    <w:name w:val="Comment Text Char"/>
    <w:basedOn w:val="DefaultParagraphFont"/>
    <w:link w:val="CommentText"/>
    <w:uiPriority w:val="99"/>
    <w:rsid w:val="007E385C"/>
    <w:rPr>
      <w:sz w:val="20"/>
      <w:szCs w:val="20"/>
    </w:rPr>
  </w:style>
  <w:style w:type="paragraph" w:styleId="CommentSubject">
    <w:name w:val="annotation subject"/>
    <w:basedOn w:val="CommentText"/>
    <w:next w:val="CommentText"/>
    <w:link w:val="CommentSubjectChar"/>
    <w:uiPriority w:val="99"/>
    <w:semiHidden/>
    <w:unhideWhenUsed/>
    <w:rsid w:val="007E385C"/>
    <w:rPr>
      <w:b/>
      <w:bCs/>
    </w:rPr>
  </w:style>
  <w:style w:type="character" w:customStyle="1" w:styleId="CommentSubjectChar">
    <w:name w:val="Comment Subject Char"/>
    <w:basedOn w:val="CommentTextChar"/>
    <w:link w:val="CommentSubject"/>
    <w:uiPriority w:val="99"/>
    <w:semiHidden/>
    <w:rsid w:val="007E385C"/>
    <w:rPr>
      <w:b/>
      <w:bCs/>
      <w:sz w:val="20"/>
      <w:szCs w:val="20"/>
    </w:rPr>
  </w:style>
  <w:style w:type="paragraph" w:styleId="Revision">
    <w:name w:val="Revision"/>
    <w:hidden/>
    <w:uiPriority w:val="99"/>
    <w:semiHidden/>
    <w:rsid w:val="00C5507D"/>
    <w:pPr>
      <w:spacing w:after="0" w:line="240" w:lineRule="auto"/>
    </w:pPr>
  </w:style>
  <w:style w:type="character" w:styleId="Strong">
    <w:name w:val="Strong"/>
    <w:uiPriority w:val="22"/>
    <w:qFormat/>
    <w:rsid w:val="003A5895"/>
    <w:rPr>
      <w:rFonts w:ascii="Arial" w:eastAsiaTheme="minorHAnsi" w:hAnsi="Arial" w:cs="Arial"/>
      <w:b/>
      <w:color w:val="FF0000"/>
    </w:rPr>
  </w:style>
  <w:style w:type="paragraph" w:styleId="Caption">
    <w:name w:val="caption"/>
    <w:basedOn w:val="Normal"/>
    <w:next w:val="Normal"/>
    <w:uiPriority w:val="35"/>
    <w:unhideWhenUsed/>
    <w:qFormat/>
    <w:rsid w:val="007D669C"/>
    <w:pPr>
      <w:spacing w:after="200" w:line="240" w:lineRule="auto"/>
    </w:pPr>
    <w:rPr>
      <w:rFonts w:ascii="Arial" w:eastAsiaTheme="minorHAnsi" w:hAnsi="Arial" w:cstheme="minorBidi"/>
      <w:i/>
      <w:iCs/>
      <w:color w:val="0E2841" w:themeColor="text2"/>
      <w:sz w:val="18"/>
      <w:szCs w:val="18"/>
    </w:rPr>
  </w:style>
  <w:style w:type="table" w:styleId="GridTable4">
    <w:name w:val="Grid Table 4"/>
    <w:basedOn w:val="TableNormal"/>
    <w:uiPriority w:val="49"/>
    <w:rsid w:val="007D669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ader">
    <w:name w:val="header"/>
    <w:basedOn w:val="Normal"/>
    <w:link w:val="HeaderChar"/>
    <w:uiPriority w:val="99"/>
    <w:unhideWhenUsed/>
    <w:rsid w:val="00625F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F6B"/>
    <w:rPr>
      <w:rFonts w:ascii="Aptos" w:eastAsiaTheme="minorEastAsia" w:hAnsi="Aptos" w:cstheme="minorHAnsi"/>
      <w:kern w:val="0"/>
      <w14:ligatures w14:val="none"/>
    </w:rPr>
  </w:style>
  <w:style w:type="paragraph" w:styleId="Footer">
    <w:name w:val="footer"/>
    <w:basedOn w:val="Normal"/>
    <w:link w:val="FooterChar"/>
    <w:uiPriority w:val="99"/>
    <w:unhideWhenUsed/>
    <w:rsid w:val="00625F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F6B"/>
    <w:rPr>
      <w:rFonts w:ascii="Aptos" w:eastAsiaTheme="minorEastAsia" w:hAnsi="Aptos" w:cstheme="minorHAnsi"/>
      <w:kern w:val="0"/>
      <w14:ligatures w14:val="none"/>
    </w:rPr>
  </w:style>
  <w:style w:type="paragraph" w:styleId="NoSpacing">
    <w:name w:val="No Spacing"/>
    <w:uiPriority w:val="1"/>
    <w:qFormat/>
    <w:rsid w:val="00625F6B"/>
    <w:pPr>
      <w:spacing w:after="0" w:line="240" w:lineRule="auto"/>
      <w:jc w:val="both"/>
    </w:pPr>
    <w:rPr>
      <w:rFonts w:ascii="Aptos" w:eastAsiaTheme="minorEastAsia" w:hAnsi="Aptos" w:cstheme="minorHAnsi"/>
      <w:kern w:val="0"/>
      <w14:ligatures w14:val="none"/>
    </w:rPr>
  </w:style>
  <w:style w:type="paragraph" w:styleId="EndnoteText">
    <w:name w:val="endnote text"/>
    <w:basedOn w:val="Normal"/>
    <w:link w:val="EndnoteTextChar"/>
    <w:uiPriority w:val="99"/>
    <w:semiHidden/>
    <w:unhideWhenUsed/>
    <w:rsid w:val="003321F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21F4"/>
    <w:rPr>
      <w:rFonts w:ascii="Aptos" w:eastAsiaTheme="minorEastAsia" w:hAnsi="Aptos" w:cstheme="minorHAnsi"/>
      <w:kern w:val="0"/>
      <w:sz w:val="20"/>
      <w:szCs w:val="20"/>
      <w14:ligatures w14:val="none"/>
    </w:rPr>
  </w:style>
  <w:style w:type="character" w:styleId="EndnoteReference">
    <w:name w:val="endnote reference"/>
    <w:basedOn w:val="DefaultParagraphFont"/>
    <w:uiPriority w:val="99"/>
    <w:semiHidden/>
    <w:unhideWhenUsed/>
    <w:rsid w:val="003321F4"/>
    <w:rPr>
      <w:vertAlign w:val="superscript"/>
    </w:rPr>
  </w:style>
  <w:style w:type="paragraph" w:styleId="FootnoteText">
    <w:name w:val="footnote text"/>
    <w:basedOn w:val="Normal"/>
    <w:link w:val="FootnoteTextChar"/>
    <w:uiPriority w:val="99"/>
    <w:semiHidden/>
    <w:unhideWhenUsed/>
    <w:rsid w:val="00043F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3F10"/>
    <w:rPr>
      <w:rFonts w:ascii="Aptos" w:eastAsiaTheme="minorEastAsia" w:hAnsi="Aptos" w:cstheme="minorHAnsi"/>
      <w:kern w:val="0"/>
      <w:sz w:val="20"/>
      <w:szCs w:val="20"/>
      <w14:ligatures w14:val="none"/>
    </w:rPr>
  </w:style>
  <w:style w:type="character" w:styleId="FootnoteReference">
    <w:name w:val="footnote reference"/>
    <w:basedOn w:val="DefaultParagraphFont"/>
    <w:uiPriority w:val="99"/>
    <w:semiHidden/>
    <w:unhideWhenUsed/>
    <w:rsid w:val="00043F10"/>
    <w:rPr>
      <w:vertAlign w:val="superscript"/>
    </w:rPr>
  </w:style>
  <w:style w:type="character" w:styleId="Mention">
    <w:name w:val="Mention"/>
    <w:basedOn w:val="DefaultParagraphFont"/>
    <w:uiPriority w:val="99"/>
    <w:unhideWhenUsed/>
    <w:rsid w:val="00350A7D"/>
    <w:rPr>
      <w:color w:val="2B579A"/>
      <w:shd w:val="clear" w:color="auto" w:fill="E1DFDD"/>
    </w:rPr>
  </w:style>
  <w:style w:type="table" w:styleId="ListTable4">
    <w:name w:val="List Table 4"/>
    <w:basedOn w:val="TableNormal"/>
    <w:uiPriority w:val="49"/>
    <w:rsid w:val="00542B8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33776">
      <w:bodyDiv w:val="1"/>
      <w:marLeft w:val="0"/>
      <w:marRight w:val="0"/>
      <w:marTop w:val="0"/>
      <w:marBottom w:val="0"/>
      <w:divBdr>
        <w:top w:val="none" w:sz="0" w:space="0" w:color="auto"/>
        <w:left w:val="none" w:sz="0" w:space="0" w:color="auto"/>
        <w:bottom w:val="none" w:sz="0" w:space="0" w:color="auto"/>
        <w:right w:val="none" w:sz="0" w:space="0" w:color="auto"/>
      </w:divBdr>
    </w:div>
    <w:div w:id="108621336">
      <w:bodyDiv w:val="1"/>
      <w:marLeft w:val="0"/>
      <w:marRight w:val="0"/>
      <w:marTop w:val="0"/>
      <w:marBottom w:val="0"/>
      <w:divBdr>
        <w:top w:val="none" w:sz="0" w:space="0" w:color="auto"/>
        <w:left w:val="none" w:sz="0" w:space="0" w:color="auto"/>
        <w:bottom w:val="none" w:sz="0" w:space="0" w:color="auto"/>
        <w:right w:val="none" w:sz="0" w:space="0" w:color="auto"/>
      </w:divBdr>
    </w:div>
    <w:div w:id="217130363">
      <w:bodyDiv w:val="1"/>
      <w:marLeft w:val="0"/>
      <w:marRight w:val="0"/>
      <w:marTop w:val="0"/>
      <w:marBottom w:val="0"/>
      <w:divBdr>
        <w:top w:val="none" w:sz="0" w:space="0" w:color="auto"/>
        <w:left w:val="none" w:sz="0" w:space="0" w:color="auto"/>
        <w:bottom w:val="none" w:sz="0" w:space="0" w:color="auto"/>
        <w:right w:val="none" w:sz="0" w:space="0" w:color="auto"/>
      </w:divBdr>
    </w:div>
    <w:div w:id="390081536">
      <w:bodyDiv w:val="1"/>
      <w:marLeft w:val="0"/>
      <w:marRight w:val="0"/>
      <w:marTop w:val="0"/>
      <w:marBottom w:val="0"/>
      <w:divBdr>
        <w:top w:val="none" w:sz="0" w:space="0" w:color="auto"/>
        <w:left w:val="none" w:sz="0" w:space="0" w:color="auto"/>
        <w:bottom w:val="none" w:sz="0" w:space="0" w:color="auto"/>
        <w:right w:val="none" w:sz="0" w:space="0" w:color="auto"/>
      </w:divBdr>
    </w:div>
    <w:div w:id="433482531">
      <w:bodyDiv w:val="1"/>
      <w:marLeft w:val="0"/>
      <w:marRight w:val="0"/>
      <w:marTop w:val="0"/>
      <w:marBottom w:val="0"/>
      <w:divBdr>
        <w:top w:val="none" w:sz="0" w:space="0" w:color="auto"/>
        <w:left w:val="none" w:sz="0" w:space="0" w:color="auto"/>
        <w:bottom w:val="none" w:sz="0" w:space="0" w:color="auto"/>
        <w:right w:val="none" w:sz="0" w:space="0" w:color="auto"/>
      </w:divBdr>
    </w:div>
    <w:div w:id="803549153">
      <w:bodyDiv w:val="1"/>
      <w:marLeft w:val="0"/>
      <w:marRight w:val="0"/>
      <w:marTop w:val="0"/>
      <w:marBottom w:val="0"/>
      <w:divBdr>
        <w:top w:val="none" w:sz="0" w:space="0" w:color="auto"/>
        <w:left w:val="none" w:sz="0" w:space="0" w:color="auto"/>
        <w:bottom w:val="none" w:sz="0" w:space="0" w:color="auto"/>
        <w:right w:val="none" w:sz="0" w:space="0" w:color="auto"/>
      </w:divBdr>
    </w:div>
    <w:div w:id="1107696432">
      <w:bodyDiv w:val="1"/>
      <w:marLeft w:val="0"/>
      <w:marRight w:val="0"/>
      <w:marTop w:val="0"/>
      <w:marBottom w:val="0"/>
      <w:divBdr>
        <w:top w:val="none" w:sz="0" w:space="0" w:color="auto"/>
        <w:left w:val="none" w:sz="0" w:space="0" w:color="auto"/>
        <w:bottom w:val="none" w:sz="0" w:space="0" w:color="auto"/>
        <w:right w:val="none" w:sz="0" w:space="0" w:color="auto"/>
      </w:divBdr>
    </w:div>
    <w:div w:id="1154443626">
      <w:bodyDiv w:val="1"/>
      <w:marLeft w:val="0"/>
      <w:marRight w:val="0"/>
      <w:marTop w:val="0"/>
      <w:marBottom w:val="0"/>
      <w:divBdr>
        <w:top w:val="none" w:sz="0" w:space="0" w:color="auto"/>
        <w:left w:val="none" w:sz="0" w:space="0" w:color="auto"/>
        <w:bottom w:val="none" w:sz="0" w:space="0" w:color="auto"/>
        <w:right w:val="none" w:sz="0" w:space="0" w:color="auto"/>
      </w:divBdr>
    </w:div>
    <w:div w:id="1204639661">
      <w:bodyDiv w:val="1"/>
      <w:marLeft w:val="0"/>
      <w:marRight w:val="0"/>
      <w:marTop w:val="0"/>
      <w:marBottom w:val="0"/>
      <w:divBdr>
        <w:top w:val="none" w:sz="0" w:space="0" w:color="auto"/>
        <w:left w:val="none" w:sz="0" w:space="0" w:color="auto"/>
        <w:bottom w:val="none" w:sz="0" w:space="0" w:color="auto"/>
        <w:right w:val="none" w:sz="0" w:space="0" w:color="auto"/>
      </w:divBdr>
    </w:div>
    <w:div w:id="1418206703">
      <w:bodyDiv w:val="1"/>
      <w:marLeft w:val="0"/>
      <w:marRight w:val="0"/>
      <w:marTop w:val="0"/>
      <w:marBottom w:val="0"/>
      <w:divBdr>
        <w:top w:val="none" w:sz="0" w:space="0" w:color="auto"/>
        <w:left w:val="none" w:sz="0" w:space="0" w:color="auto"/>
        <w:bottom w:val="none" w:sz="0" w:space="0" w:color="auto"/>
        <w:right w:val="none" w:sz="0" w:space="0" w:color="auto"/>
      </w:divBdr>
    </w:div>
    <w:div w:id="1479226846">
      <w:bodyDiv w:val="1"/>
      <w:marLeft w:val="0"/>
      <w:marRight w:val="0"/>
      <w:marTop w:val="0"/>
      <w:marBottom w:val="0"/>
      <w:divBdr>
        <w:top w:val="none" w:sz="0" w:space="0" w:color="auto"/>
        <w:left w:val="none" w:sz="0" w:space="0" w:color="auto"/>
        <w:bottom w:val="none" w:sz="0" w:space="0" w:color="auto"/>
        <w:right w:val="none" w:sz="0" w:space="0" w:color="auto"/>
      </w:divBdr>
    </w:div>
    <w:div w:id="1535582425">
      <w:bodyDiv w:val="1"/>
      <w:marLeft w:val="0"/>
      <w:marRight w:val="0"/>
      <w:marTop w:val="0"/>
      <w:marBottom w:val="0"/>
      <w:divBdr>
        <w:top w:val="none" w:sz="0" w:space="0" w:color="auto"/>
        <w:left w:val="none" w:sz="0" w:space="0" w:color="auto"/>
        <w:bottom w:val="none" w:sz="0" w:space="0" w:color="auto"/>
        <w:right w:val="none" w:sz="0" w:space="0" w:color="auto"/>
      </w:divBdr>
    </w:div>
    <w:div w:id="1645505506">
      <w:bodyDiv w:val="1"/>
      <w:marLeft w:val="0"/>
      <w:marRight w:val="0"/>
      <w:marTop w:val="0"/>
      <w:marBottom w:val="0"/>
      <w:divBdr>
        <w:top w:val="none" w:sz="0" w:space="0" w:color="auto"/>
        <w:left w:val="none" w:sz="0" w:space="0" w:color="auto"/>
        <w:bottom w:val="none" w:sz="0" w:space="0" w:color="auto"/>
        <w:right w:val="none" w:sz="0" w:space="0" w:color="auto"/>
      </w:divBdr>
    </w:div>
    <w:div w:id="1649551077">
      <w:bodyDiv w:val="1"/>
      <w:marLeft w:val="0"/>
      <w:marRight w:val="0"/>
      <w:marTop w:val="0"/>
      <w:marBottom w:val="0"/>
      <w:divBdr>
        <w:top w:val="none" w:sz="0" w:space="0" w:color="auto"/>
        <w:left w:val="none" w:sz="0" w:space="0" w:color="auto"/>
        <w:bottom w:val="none" w:sz="0" w:space="0" w:color="auto"/>
        <w:right w:val="none" w:sz="0" w:space="0" w:color="auto"/>
      </w:divBdr>
    </w:div>
    <w:div w:id="1738243977">
      <w:bodyDiv w:val="1"/>
      <w:marLeft w:val="0"/>
      <w:marRight w:val="0"/>
      <w:marTop w:val="0"/>
      <w:marBottom w:val="0"/>
      <w:divBdr>
        <w:top w:val="none" w:sz="0" w:space="0" w:color="auto"/>
        <w:left w:val="none" w:sz="0" w:space="0" w:color="auto"/>
        <w:bottom w:val="none" w:sz="0" w:space="0" w:color="auto"/>
        <w:right w:val="none" w:sz="0" w:space="0" w:color="auto"/>
      </w:divBdr>
    </w:div>
    <w:div w:id="1918855466">
      <w:bodyDiv w:val="1"/>
      <w:marLeft w:val="0"/>
      <w:marRight w:val="0"/>
      <w:marTop w:val="0"/>
      <w:marBottom w:val="0"/>
      <w:divBdr>
        <w:top w:val="none" w:sz="0" w:space="0" w:color="auto"/>
        <w:left w:val="none" w:sz="0" w:space="0" w:color="auto"/>
        <w:bottom w:val="none" w:sz="0" w:space="0" w:color="auto"/>
        <w:right w:val="none" w:sz="0" w:space="0" w:color="auto"/>
      </w:divBdr>
    </w:div>
    <w:div w:id="212954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FABA6-00A5-4E80-9773-01447B77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2121</Words>
  <Characters>12095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2025-01-28T19:44:00Z</dcterms:created>
  <dcterms:modified xsi:type="dcterms:W3CDTF">2025-01-28T19:45:00Z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2025-01-28T19:45:01Z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abf05f0a-4534-42b9-a77a-a3b4d532f0c6</vt:lpwstr>
  </property>
  <property fmtid="{D5CDD505-2E9C-101B-9397-08002B2CF9AE}" pid="9" name="MSIP_Label_ed3826ce-7c18-471d-9596-93de5bae332e_ContentBits">
    <vt:lpwstr>0</vt:lpwstr>
  </property>
</Properties>
</file>